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C3252" w14:textId="77777777" w:rsidR="007116C7" w:rsidRPr="00712B66" w:rsidRDefault="007116C7" w:rsidP="00DB7395">
      <w:pPr>
        <w:pStyle w:val="naisnod"/>
        <w:spacing w:before="0" w:after="0"/>
        <w:ind w:firstLine="720"/>
        <w:rPr>
          <w:sz w:val="28"/>
          <w:szCs w:val="28"/>
        </w:rPr>
      </w:pPr>
      <w:bookmarkStart w:id="0" w:name="_GoBack"/>
      <w:bookmarkEnd w:id="0"/>
      <w:r w:rsidRPr="00712B66">
        <w:rPr>
          <w:sz w:val="28"/>
          <w:szCs w:val="28"/>
        </w:rPr>
        <w:t>Izziņa par atzinumos sniegtajiem iebildumiem</w:t>
      </w:r>
    </w:p>
    <w:p w14:paraId="7BC35258"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65EF6C78" w14:textId="77777777">
        <w:trPr>
          <w:jc w:val="center"/>
        </w:trPr>
        <w:tc>
          <w:tcPr>
            <w:tcW w:w="10188" w:type="dxa"/>
            <w:tcBorders>
              <w:bottom w:val="single" w:sz="6" w:space="0" w:color="000000"/>
            </w:tcBorders>
          </w:tcPr>
          <w:p w14:paraId="0F3B0304" w14:textId="58BD4E35" w:rsidR="007116C7" w:rsidRPr="00712B66" w:rsidRDefault="00871238" w:rsidP="00DB7395">
            <w:pPr>
              <w:ind w:firstLine="720"/>
            </w:pPr>
            <w:r w:rsidRPr="00871238">
              <w:t>Noteikumu projekts "Kārtība, kādā ministrijas un citas centrālās valsts iestādes iekļauj gadskārtējā valsts budžeta likumprojektā valsts aizdevumu pieprasījumus, un valsts aizdevumu izsniegšanas un apkalpošanas kārtība"</w:t>
            </w:r>
            <w:r w:rsidR="008E0A25">
              <w:t xml:space="preserve"> (VSS-360)</w:t>
            </w:r>
          </w:p>
        </w:tc>
      </w:tr>
    </w:tbl>
    <w:p w14:paraId="2D212464" w14:textId="77777777" w:rsidR="007116C7" w:rsidRPr="00712B66" w:rsidRDefault="007116C7" w:rsidP="009623BC">
      <w:pPr>
        <w:pStyle w:val="naisc"/>
        <w:spacing w:before="0" w:after="0"/>
        <w:ind w:firstLine="1080"/>
      </w:pPr>
      <w:r w:rsidRPr="00712B66">
        <w:t>(dokumenta veids un nosaukums)</w:t>
      </w:r>
    </w:p>
    <w:p w14:paraId="6B7DE046" w14:textId="77777777" w:rsidR="007B4C0F" w:rsidRPr="00712B66" w:rsidRDefault="007B4C0F" w:rsidP="00DB7395">
      <w:pPr>
        <w:pStyle w:val="naisf"/>
        <w:spacing w:before="0" w:after="0"/>
        <w:ind w:firstLine="720"/>
      </w:pPr>
    </w:p>
    <w:p w14:paraId="5711D65D"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2598E37"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498BDE81"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20B1CB6B"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5FD58FE0"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EFD7392"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C4770C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BBF03E5"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A05549D" w14:textId="77777777" w:rsidR="005F4BFD" w:rsidRPr="00712B66" w:rsidRDefault="005F4BFD" w:rsidP="00364BB6">
            <w:pPr>
              <w:jc w:val="center"/>
            </w:pPr>
            <w:r w:rsidRPr="00712B66">
              <w:t>Projekta attiecīgā punkta (panta) galīgā redakcija</w:t>
            </w:r>
          </w:p>
        </w:tc>
      </w:tr>
      <w:tr w:rsidR="005F4BFD" w:rsidRPr="008A36C9" w14:paraId="71D6A950" w14:textId="77777777">
        <w:tc>
          <w:tcPr>
            <w:tcW w:w="708" w:type="dxa"/>
            <w:tcBorders>
              <w:top w:val="single" w:sz="6" w:space="0" w:color="000000"/>
              <w:left w:val="single" w:sz="6" w:space="0" w:color="000000"/>
              <w:bottom w:val="single" w:sz="6" w:space="0" w:color="000000"/>
              <w:right w:val="single" w:sz="6" w:space="0" w:color="000000"/>
            </w:tcBorders>
          </w:tcPr>
          <w:p w14:paraId="15E3E20B"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263780A"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1D0112BE"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D38C735"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163F2156"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EEE94FF" w14:textId="77777777" w:rsidR="005F4BFD" w:rsidRPr="008A36C9" w:rsidRDefault="008A36C9" w:rsidP="008A36C9">
            <w:pPr>
              <w:jc w:val="center"/>
              <w:rPr>
                <w:sz w:val="20"/>
                <w:szCs w:val="20"/>
              </w:rPr>
            </w:pPr>
            <w:r w:rsidRPr="008A36C9">
              <w:rPr>
                <w:sz w:val="20"/>
                <w:szCs w:val="20"/>
              </w:rPr>
              <w:t>6</w:t>
            </w:r>
          </w:p>
        </w:tc>
      </w:tr>
      <w:tr w:rsidR="005F4BFD" w:rsidRPr="00712B66" w14:paraId="70A8B384" w14:textId="77777777">
        <w:tc>
          <w:tcPr>
            <w:tcW w:w="708" w:type="dxa"/>
            <w:tcBorders>
              <w:left w:val="single" w:sz="6" w:space="0" w:color="000000"/>
              <w:bottom w:val="single" w:sz="4" w:space="0" w:color="auto"/>
              <w:right w:val="single" w:sz="6" w:space="0" w:color="000000"/>
            </w:tcBorders>
          </w:tcPr>
          <w:p w14:paraId="532A687C"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1CF731CB"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523DFCEE"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F1D1B8A"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AB65840"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10643DEF" w14:textId="77777777" w:rsidR="005F4BFD" w:rsidRPr="00712B66" w:rsidRDefault="005F4BFD" w:rsidP="0036160E"/>
        </w:tc>
      </w:tr>
      <w:tr w:rsidR="008A36C9" w:rsidRPr="00712B66" w14:paraId="3F3C7B3F" w14:textId="77777777">
        <w:tc>
          <w:tcPr>
            <w:tcW w:w="708" w:type="dxa"/>
            <w:tcBorders>
              <w:left w:val="single" w:sz="6" w:space="0" w:color="000000"/>
              <w:bottom w:val="single" w:sz="4" w:space="0" w:color="auto"/>
              <w:right w:val="single" w:sz="6" w:space="0" w:color="000000"/>
            </w:tcBorders>
          </w:tcPr>
          <w:p w14:paraId="12FBC9EA"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607DCC54"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5514A6CE"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14500315"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C92F2BA"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0C76A8F5" w14:textId="77777777" w:rsidR="008A36C9" w:rsidRPr="00712B66" w:rsidRDefault="008A36C9" w:rsidP="008A36C9"/>
        </w:tc>
      </w:tr>
    </w:tbl>
    <w:p w14:paraId="0E50FB3A" w14:textId="77777777" w:rsidR="007B4C0F" w:rsidRPr="00712B66" w:rsidRDefault="007B4C0F" w:rsidP="007B4C0F">
      <w:pPr>
        <w:pStyle w:val="naisf"/>
        <w:spacing w:before="0" w:after="0"/>
        <w:ind w:firstLine="0"/>
      </w:pPr>
    </w:p>
    <w:p w14:paraId="53C2A3A8"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6D0D37B9" w14:textId="77777777" w:rsidR="005D67F7" w:rsidRPr="00712B66" w:rsidRDefault="005D67F7" w:rsidP="005D67F7">
      <w:pPr>
        <w:pStyle w:val="naisf"/>
        <w:spacing w:before="0" w:after="0"/>
        <w:ind w:firstLine="0"/>
        <w:rPr>
          <w:b/>
        </w:rPr>
      </w:pPr>
    </w:p>
    <w:tbl>
      <w:tblPr>
        <w:tblW w:w="17317" w:type="dxa"/>
        <w:tblLook w:val="00A0" w:firstRow="1" w:lastRow="0" w:firstColumn="1" w:lastColumn="0" w:noHBand="0" w:noVBand="0"/>
      </w:tblPr>
      <w:tblGrid>
        <w:gridCol w:w="6258"/>
        <w:gridCol w:w="87"/>
        <w:gridCol w:w="34"/>
        <w:gridCol w:w="1169"/>
        <w:gridCol w:w="5034"/>
        <w:gridCol w:w="121"/>
        <w:gridCol w:w="4614"/>
      </w:tblGrid>
      <w:tr w:rsidR="007B4C0F" w:rsidRPr="00712B66" w14:paraId="3420F854" w14:textId="77777777" w:rsidTr="003F6A45">
        <w:trPr>
          <w:gridAfter w:val="2"/>
          <w:wAfter w:w="4735" w:type="dxa"/>
        </w:trPr>
        <w:tc>
          <w:tcPr>
            <w:tcW w:w="6345" w:type="dxa"/>
            <w:gridSpan w:val="2"/>
          </w:tcPr>
          <w:p w14:paraId="2F1FB04A"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6DBAD8ED" w14:textId="38DBC181" w:rsidR="007B4C0F" w:rsidRPr="00712B66" w:rsidRDefault="008F59C8" w:rsidP="0036160E">
            <w:pPr>
              <w:pStyle w:val="NormalWeb"/>
              <w:spacing w:before="0" w:beforeAutospacing="0" w:after="0" w:afterAutospacing="0"/>
              <w:ind w:firstLine="720"/>
            </w:pPr>
            <w:r>
              <w:t>07.06.2019.</w:t>
            </w:r>
            <w:r w:rsidR="00A1134F">
              <w:t xml:space="preserve"> un 26.06.2019.</w:t>
            </w:r>
          </w:p>
        </w:tc>
      </w:tr>
      <w:tr w:rsidR="003C27A2" w:rsidRPr="00712B66" w14:paraId="5D258A4A" w14:textId="77777777" w:rsidTr="003F6A45">
        <w:trPr>
          <w:gridAfter w:val="2"/>
          <w:wAfter w:w="4735" w:type="dxa"/>
        </w:trPr>
        <w:tc>
          <w:tcPr>
            <w:tcW w:w="6345" w:type="dxa"/>
            <w:gridSpan w:val="2"/>
          </w:tcPr>
          <w:p w14:paraId="6FE38EA5"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07E451DF" w14:textId="77777777" w:rsidR="003C27A2" w:rsidRPr="00712B66" w:rsidRDefault="003C27A2" w:rsidP="0036160E">
            <w:pPr>
              <w:pStyle w:val="NormalWeb"/>
              <w:spacing w:before="0" w:beforeAutospacing="0" w:after="0" w:afterAutospacing="0"/>
              <w:ind w:firstLine="720"/>
            </w:pPr>
          </w:p>
        </w:tc>
      </w:tr>
      <w:tr w:rsidR="007B4C0F" w:rsidRPr="00712B66" w14:paraId="1C2499CD" w14:textId="77777777" w:rsidTr="003F6A45">
        <w:trPr>
          <w:gridAfter w:val="2"/>
          <w:wAfter w:w="4735" w:type="dxa"/>
        </w:trPr>
        <w:tc>
          <w:tcPr>
            <w:tcW w:w="6345" w:type="dxa"/>
            <w:gridSpan w:val="2"/>
          </w:tcPr>
          <w:p w14:paraId="04370E28"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4F26BCC4" w14:textId="006DE233" w:rsidR="007B4C0F" w:rsidRPr="00712B66" w:rsidRDefault="00F56CE7" w:rsidP="0091396A">
            <w:pPr>
              <w:ind w:firstLine="720"/>
              <w:jc w:val="both"/>
            </w:pPr>
            <w:r w:rsidRPr="00F56CE7">
              <w:t>Tieslietu ministrija, Aizsardzības ministrija, Ārlietu ministrija, Ekonomikas ministrija, Iekšlietu ministrija, Izglītības un zinātnes ministrija, Kultūras ministrija, Labklājības ministrija, Satiksmes ministrija, Veselības ministrija, Vides aizsardzības un reģionālās attīstības ministrija, Zemkopības ministrija, biedrība "Reģionālo attīstības centru apvienība" un Latvijas Lielo pilsētu asociācija.</w:t>
            </w:r>
          </w:p>
        </w:tc>
      </w:tr>
      <w:tr w:rsidR="007B4C0F" w:rsidRPr="00712B66" w14:paraId="287834FC" w14:textId="77777777" w:rsidTr="003F6A45">
        <w:trPr>
          <w:gridAfter w:val="2"/>
          <w:wAfter w:w="4735" w:type="dxa"/>
        </w:trPr>
        <w:tc>
          <w:tcPr>
            <w:tcW w:w="6345" w:type="dxa"/>
            <w:gridSpan w:val="2"/>
          </w:tcPr>
          <w:p w14:paraId="432D04D8"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311FB53A" w14:textId="77777777" w:rsidR="007B4C0F" w:rsidRPr="00712B66" w:rsidRDefault="007B4C0F" w:rsidP="0036160E">
            <w:pPr>
              <w:pStyle w:val="naiskr"/>
              <w:spacing w:before="0" w:after="0"/>
              <w:ind w:firstLine="720"/>
            </w:pPr>
          </w:p>
        </w:tc>
      </w:tr>
      <w:tr w:rsidR="000D0AED" w:rsidRPr="00712B66" w14:paraId="6E739801" w14:textId="77777777" w:rsidTr="003F6A45">
        <w:trPr>
          <w:gridAfter w:val="2"/>
          <w:wAfter w:w="4735" w:type="dxa"/>
          <w:trHeight w:val="285"/>
        </w:trPr>
        <w:tc>
          <w:tcPr>
            <w:tcW w:w="6345" w:type="dxa"/>
            <w:gridSpan w:val="2"/>
          </w:tcPr>
          <w:p w14:paraId="269562E4" w14:textId="77777777" w:rsidR="000D0AED" w:rsidRPr="00712B66" w:rsidRDefault="000D0AED" w:rsidP="000D0AED">
            <w:pPr>
              <w:pStyle w:val="naiskr"/>
              <w:spacing w:before="0" w:after="0"/>
            </w:pPr>
          </w:p>
        </w:tc>
        <w:tc>
          <w:tcPr>
            <w:tcW w:w="1203" w:type="dxa"/>
            <w:gridSpan w:val="2"/>
          </w:tcPr>
          <w:p w14:paraId="4BFF9946" w14:textId="77777777" w:rsidR="000D0AED" w:rsidRPr="00712B66" w:rsidRDefault="000D0AED" w:rsidP="0036160E">
            <w:pPr>
              <w:pStyle w:val="naiskr"/>
              <w:spacing w:before="0" w:after="0"/>
              <w:ind w:firstLine="720"/>
            </w:pPr>
          </w:p>
        </w:tc>
        <w:tc>
          <w:tcPr>
            <w:tcW w:w="5034" w:type="dxa"/>
          </w:tcPr>
          <w:p w14:paraId="27A7E11B" w14:textId="77777777" w:rsidR="000D0AED" w:rsidRPr="00712B66" w:rsidRDefault="000D0AED" w:rsidP="0036160E">
            <w:pPr>
              <w:pStyle w:val="naiskr"/>
              <w:spacing w:before="0" w:after="0"/>
              <w:ind w:firstLine="12"/>
            </w:pPr>
          </w:p>
        </w:tc>
      </w:tr>
      <w:tr w:rsidR="007B4C0F" w:rsidRPr="00712B66" w14:paraId="13F653F9" w14:textId="77777777" w:rsidTr="003F6A45">
        <w:trPr>
          <w:trHeight w:val="285"/>
        </w:trPr>
        <w:tc>
          <w:tcPr>
            <w:tcW w:w="6379" w:type="dxa"/>
            <w:gridSpan w:val="3"/>
          </w:tcPr>
          <w:p w14:paraId="5A7F12BC"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6324" w:type="dxa"/>
            <w:gridSpan w:val="3"/>
          </w:tcPr>
          <w:p w14:paraId="57FE9C0C" w14:textId="6EBB5B6A" w:rsidR="007B4C0F" w:rsidRPr="00712B66" w:rsidRDefault="00F56CE7" w:rsidP="00F56CE7">
            <w:pPr>
              <w:pStyle w:val="naisf"/>
              <w:spacing w:before="0" w:after="0"/>
              <w:ind w:firstLine="720"/>
            </w:pPr>
            <w:r>
              <w:t>Latvijas Lielo pilsētu asociācija, Tieslietu ministrija</w:t>
            </w:r>
          </w:p>
        </w:tc>
        <w:tc>
          <w:tcPr>
            <w:tcW w:w="4614" w:type="dxa"/>
          </w:tcPr>
          <w:p w14:paraId="5DB56BD3" w14:textId="77777777" w:rsidR="007B4C0F" w:rsidRPr="00712B66" w:rsidRDefault="007B4C0F" w:rsidP="00F56CE7">
            <w:pPr>
              <w:pStyle w:val="naisf"/>
              <w:spacing w:before="0" w:after="0"/>
              <w:ind w:firstLine="720"/>
            </w:pPr>
          </w:p>
        </w:tc>
      </w:tr>
      <w:tr w:rsidR="003C27A2" w:rsidRPr="00712B66" w14:paraId="182EA7AF" w14:textId="77777777" w:rsidTr="003F6A45">
        <w:trPr>
          <w:gridAfter w:val="2"/>
          <w:wAfter w:w="4735" w:type="dxa"/>
          <w:trHeight w:val="465"/>
        </w:trPr>
        <w:tc>
          <w:tcPr>
            <w:tcW w:w="6258" w:type="dxa"/>
          </w:tcPr>
          <w:p w14:paraId="6C003485" w14:textId="77777777" w:rsidR="003C27A2" w:rsidRPr="00712B66" w:rsidRDefault="003C27A2" w:rsidP="0036160E">
            <w:pPr>
              <w:pStyle w:val="naiskr"/>
              <w:spacing w:before="0" w:after="0"/>
              <w:ind w:firstLine="720"/>
            </w:pPr>
            <w:r w:rsidRPr="00712B66">
              <w:t>  </w:t>
            </w:r>
          </w:p>
        </w:tc>
        <w:tc>
          <w:tcPr>
            <w:tcW w:w="6324" w:type="dxa"/>
            <w:gridSpan w:val="4"/>
            <w:tcBorders>
              <w:top w:val="single" w:sz="6" w:space="0" w:color="000000"/>
              <w:bottom w:val="single" w:sz="6" w:space="0" w:color="000000"/>
            </w:tcBorders>
          </w:tcPr>
          <w:p w14:paraId="5EEBD3F1" w14:textId="77777777" w:rsidR="003C27A2" w:rsidRPr="00712B66" w:rsidRDefault="003C27A2" w:rsidP="0036160E">
            <w:pPr>
              <w:pStyle w:val="NormalWeb"/>
              <w:spacing w:before="0" w:beforeAutospacing="0" w:after="0" w:afterAutospacing="0"/>
              <w:ind w:firstLine="720"/>
            </w:pPr>
          </w:p>
        </w:tc>
      </w:tr>
      <w:tr w:rsidR="007B4C0F" w:rsidRPr="00712B66" w14:paraId="481607D5" w14:textId="77777777" w:rsidTr="003F6A45">
        <w:trPr>
          <w:gridAfter w:val="2"/>
          <w:wAfter w:w="4735" w:type="dxa"/>
          <w:trHeight w:val="465"/>
        </w:trPr>
        <w:tc>
          <w:tcPr>
            <w:tcW w:w="12582" w:type="dxa"/>
            <w:gridSpan w:val="5"/>
          </w:tcPr>
          <w:p w14:paraId="50E3A3F6" w14:textId="77777777" w:rsidR="007B4C0F" w:rsidRPr="00712B66" w:rsidRDefault="007B4C0F" w:rsidP="003C27A2">
            <w:pPr>
              <w:pStyle w:val="naisc"/>
              <w:spacing w:before="0" w:after="0"/>
              <w:ind w:left="4820" w:firstLine="720"/>
            </w:pPr>
          </w:p>
        </w:tc>
      </w:tr>
      <w:tr w:rsidR="007B4C0F" w:rsidRPr="00712B66" w14:paraId="1A566FFC" w14:textId="77777777" w:rsidTr="003F6A45">
        <w:trPr>
          <w:gridAfter w:val="2"/>
          <w:wAfter w:w="4735" w:type="dxa"/>
        </w:trPr>
        <w:tc>
          <w:tcPr>
            <w:tcW w:w="6258" w:type="dxa"/>
          </w:tcPr>
          <w:p w14:paraId="10374CB3"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324" w:type="dxa"/>
            <w:gridSpan w:val="4"/>
          </w:tcPr>
          <w:p w14:paraId="34862C18" w14:textId="77777777" w:rsidR="007B4C0F" w:rsidRPr="00712B66" w:rsidRDefault="007B4C0F" w:rsidP="0036160E">
            <w:pPr>
              <w:pStyle w:val="naiskr"/>
              <w:spacing w:before="0" w:after="0"/>
              <w:ind w:firstLine="720"/>
            </w:pPr>
          </w:p>
        </w:tc>
      </w:tr>
      <w:tr w:rsidR="007B4C0F" w:rsidRPr="00712B66" w14:paraId="72C4103E" w14:textId="77777777" w:rsidTr="003F6A45">
        <w:trPr>
          <w:gridAfter w:val="2"/>
          <w:wAfter w:w="4735" w:type="dxa"/>
        </w:trPr>
        <w:tc>
          <w:tcPr>
            <w:tcW w:w="6258" w:type="dxa"/>
          </w:tcPr>
          <w:p w14:paraId="0112D32B" w14:textId="77777777" w:rsidR="007B4C0F" w:rsidRPr="00712B66" w:rsidRDefault="007B4C0F" w:rsidP="0036160E">
            <w:pPr>
              <w:pStyle w:val="naiskr"/>
              <w:spacing w:before="0" w:after="0"/>
              <w:ind w:firstLine="720"/>
            </w:pPr>
            <w:r w:rsidRPr="00712B66">
              <w:t>  </w:t>
            </w:r>
          </w:p>
        </w:tc>
        <w:tc>
          <w:tcPr>
            <w:tcW w:w="6324" w:type="dxa"/>
            <w:gridSpan w:val="4"/>
            <w:tcBorders>
              <w:top w:val="single" w:sz="6" w:space="0" w:color="000000"/>
              <w:bottom w:val="single" w:sz="6" w:space="0" w:color="000000"/>
            </w:tcBorders>
          </w:tcPr>
          <w:p w14:paraId="4A3BCA13" w14:textId="77777777" w:rsidR="007B4C0F" w:rsidRPr="00712B66" w:rsidRDefault="007B4C0F" w:rsidP="0036160E">
            <w:pPr>
              <w:pStyle w:val="naiskr"/>
              <w:spacing w:before="0" w:after="0"/>
              <w:ind w:firstLine="720"/>
            </w:pPr>
          </w:p>
        </w:tc>
      </w:tr>
      <w:tr w:rsidR="007B4C0F" w:rsidRPr="00712B66" w14:paraId="67057049" w14:textId="77777777" w:rsidTr="003F6A45">
        <w:trPr>
          <w:gridAfter w:val="2"/>
          <w:wAfter w:w="4735" w:type="dxa"/>
        </w:trPr>
        <w:tc>
          <w:tcPr>
            <w:tcW w:w="6258" w:type="dxa"/>
          </w:tcPr>
          <w:p w14:paraId="66B021EB" w14:textId="77777777" w:rsidR="007B4C0F" w:rsidRPr="00712B66" w:rsidRDefault="007B4C0F" w:rsidP="0036160E">
            <w:pPr>
              <w:pStyle w:val="naiskr"/>
              <w:spacing w:before="0" w:after="0"/>
              <w:ind w:firstLine="720"/>
            </w:pPr>
            <w:r w:rsidRPr="00712B66">
              <w:t>  </w:t>
            </w:r>
          </w:p>
        </w:tc>
        <w:tc>
          <w:tcPr>
            <w:tcW w:w="6324" w:type="dxa"/>
            <w:gridSpan w:val="4"/>
            <w:tcBorders>
              <w:bottom w:val="single" w:sz="6" w:space="0" w:color="000000"/>
            </w:tcBorders>
          </w:tcPr>
          <w:p w14:paraId="0E1216E8" w14:textId="77777777" w:rsidR="007B4C0F" w:rsidRPr="00712B66" w:rsidRDefault="007B4C0F" w:rsidP="0036160E">
            <w:pPr>
              <w:pStyle w:val="naiskr"/>
              <w:spacing w:before="0" w:after="0"/>
              <w:ind w:firstLine="720"/>
            </w:pPr>
          </w:p>
        </w:tc>
      </w:tr>
    </w:tbl>
    <w:p w14:paraId="56B18E97" w14:textId="77777777" w:rsidR="00683081" w:rsidRPr="00712B66" w:rsidRDefault="00683081" w:rsidP="00683081">
      <w:pPr>
        <w:pStyle w:val="naisf"/>
        <w:spacing w:before="0" w:after="0"/>
        <w:ind w:firstLine="720"/>
      </w:pPr>
    </w:p>
    <w:p w14:paraId="74B80A2C"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36B3996"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4111"/>
        <w:gridCol w:w="2693"/>
      </w:tblGrid>
      <w:tr w:rsidR="00134188" w:rsidRPr="00712B66" w14:paraId="5B42F8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38D1638" w14:textId="77777777" w:rsidR="00134188" w:rsidRPr="00712B66" w:rsidRDefault="00134188" w:rsidP="009623BC">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669A3D4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62EC6CE"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0B8DB524"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566AD38F" w14:textId="77777777" w:rsidR="00134188" w:rsidRPr="00712B66" w:rsidRDefault="00134188" w:rsidP="009623BC">
            <w:pPr>
              <w:jc w:val="center"/>
            </w:pPr>
            <w:r w:rsidRPr="00712B66">
              <w:t>Projekta attiecīgā punkta (panta) galīgā redakcija</w:t>
            </w:r>
          </w:p>
        </w:tc>
      </w:tr>
      <w:tr w:rsidR="00134188" w:rsidRPr="003B71E0" w14:paraId="68373818" w14:textId="77777777">
        <w:tc>
          <w:tcPr>
            <w:tcW w:w="708" w:type="dxa"/>
            <w:tcBorders>
              <w:top w:val="single" w:sz="6" w:space="0" w:color="000000"/>
              <w:left w:val="single" w:sz="6" w:space="0" w:color="000000"/>
              <w:bottom w:val="single" w:sz="6" w:space="0" w:color="000000"/>
              <w:right w:val="single" w:sz="6" w:space="0" w:color="000000"/>
            </w:tcBorders>
          </w:tcPr>
          <w:p w14:paraId="33481C1D" w14:textId="77777777" w:rsidR="00134188" w:rsidRPr="003B71E0" w:rsidRDefault="003B71E0" w:rsidP="003B71E0">
            <w:pPr>
              <w:pStyle w:val="naisc"/>
              <w:spacing w:before="0" w:after="0"/>
              <w:rPr>
                <w:sz w:val="20"/>
                <w:szCs w:val="20"/>
              </w:rPr>
            </w:pPr>
            <w:r w:rsidRPr="003B71E0">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06B5B26"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6194C01B"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tcBorders>
              <w:top w:val="single" w:sz="6" w:space="0" w:color="000000"/>
              <w:left w:val="single" w:sz="6" w:space="0" w:color="000000"/>
              <w:bottom w:val="single" w:sz="6" w:space="0" w:color="000000"/>
              <w:right w:val="single" w:sz="6" w:space="0" w:color="000000"/>
            </w:tcBorders>
          </w:tcPr>
          <w:p w14:paraId="229ABD07"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25527AA1" w14:textId="77777777" w:rsidR="00134188" w:rsidRPr="003B71E0" w:rsidRDefault="003B71E0" w:rsidP="003B71E0">
            <w:pPr>
              <w:jc w:val="center"/>
              <w:rPr>
                <w:sz w:val="20"/>
                <w:szCs w:val="20"/>
              </w:rPr>
            </w:pPr>
            <w:r w:rsidRPr="003B71E0">
              <w:rPr>
                <w:sz w:val="20"/>
                <w:szCs w:val="20"/>
              </w:rPr>
              <w:t>5</w:t>
            </w:r>
          </w:p>
        </w:tc>
      </w:tr>
      <w:tr w:rsidR="00871238" w:rsidRPr="003B71E0" w14:paraId="4501D059" w14:textId="77777777" w:rsidTr="001813DC">
        <w:tc>
          <w:tcPr>
            <w:tcW w:w="14992" w:type="dxa"/>
            <w:gridSpan w:val="5"/>
            <w:tcBorders>
              <w:top w:val="single" w:sz="6" w:space="0" w:color="000000"/>
              <w:left w:val="single" w:sz="6" w:space="0" w:color="000000"/>
              <w:bottom w:val="single" w:sz="6" w:space="0" w:color="000000"/>
            </w:tcBorders>
          </w:tcPr>
          <w:p w14:paraId="296FE71B" w14:textId="2209AE03" w:rsidR="00871238" w:rsidRPr="00871238" w:rsidRDefault="00871238" w:rsidP="00FC5056">
            <w:pPr>
              <w:jc w:val="center"/>
              <w:rPr>
                <w:b/>
                <w:sz w:val="20"/>
                <w:szCs w:val="20"/>
              </w:rPr>
            </w:pPr>
            <w:r w:rsidRPr="00871238">
              <w:rPr>
                <w:b/>
                <w:sz w:val="20"/>
                <w:szCs w:val="20"/>
              </w:rPr>
              <w:t>Latvijas Lielo pilsētu asociācija</w:t>
            </w:r>
            <w:r w:rsidR="008E0A25">
              <w:rPr>
                <w:b/>
                <w:sz w:val="20"/>
                <w:szCs w:val="20"/>
              </w:rPr>
              <w:t xml:space="preserve"> (20.05.2019)</w:t>
            </w:r>
          </w:p>
        </w:tc>
      </w:tr>
      <w:tr w:rsidR="00134188" w:rsidRPr="00712B66" w14:paraId="30D68FE1" w14:textId="77777777">
        <w:tc>
          <w:tcPr>
            <w:tcW w:w="708" w:type="dxa"/>
            <w:tcBorders>
              <w:left w:val="single" w:sz="6" w:space="0" w:color="000000"/>
              <w:bottom w:val="single" w:sz="4" w:space="0" w:color="auto"/>
              <w:right w:val="single" w:sz="6" w:space="0" w:color="000000"/>
            </w:tcBorders>
          </w:tcPr>
          <w:p w14:paraId="71A2C27E" w14:textId="77777777" w:rsidR="00134188" w:rsidRPr="00871238" w:rsidRDefault="00871238" w:rsidP="00871238">
            <w:pPr>
              <w:pStyle w:val="naisc"/>
              <w:spacing w:before="0" w:after="0"/>
              <w:rPr>
                <w:sz w:val="20"/>
                <w:szCs w:val="20"/>
              </w:rPr>
            </w:pPr>
            <w:r>
              <w:rPr>
                <w:sz w:val="20"/>
                <w:szCs w:val="20"/>
              </w:rPr>
              <w:t>1.</w:t>
            </w:r>
          </w:p>
        </w:tc>
        <w:tc>
          <w:tcPr>
            <w:tcW w:w="3086" w:type="dxa"/>
            <w:tcBorders>
              <w:left w:val="single" w:sz="6" w:space="0" w:color="000000"/>
              <w:bottom w:val="single" w:sz="4" w:space="0" w:color="auto"/>
              <w:right w:val="single" w:sz="6" w:space="0" w:color="000000"/>
            </w:tcBorders>
          </w:tcPr>
          <w:p w14:paraId="0C0C45A7" w14:textId="77777777" w:rsidR="00134188" w:rsidRPr="00871238" w:rsidRDefault="00871238" w:rsidP="00871238">
            <w:pPr>
              <w:pStyle w:val="naisc"/>
              <w:spacing w:before="0" w:after="0"/>
              <w:ind w:left="-57" w:right="-101"/>
              <w:jc w:val="both"/>
              <w:rPr>
                <w:sz w:val="20"/>
                <w:szCs w:val="20"/>
              </w:rPr>
            </w:pPr>
            <w:r w:rsidRPr="00871238">
              <w:rPr>
                <w:sz w:val="20"/>
                <w:szCs w:val="20"/>
              </w:rPr>
              <w:t>16. Ja aizņēmējs valsts aizdevumu izmanto Eiropas Savienības fondu un pārējās ārvalstu finanšu palīdzības līdzfinansēto projektu īstenošanai vai valsts budžeta dotācijas priekšfinansēšanai, aizņēmējs piecu darbdienu laikā pēc attiecīgā finansējuma saņemšanas atmaksā valsts aizdevuma daļu saņemtā finansējuma apmērā, samazinot galējo valsts aizdevuma atmaksas termiņu.</w:t>
            </w:r>
          </w:p>
        </w:tc>
        <w:tc>
          <w:tcPr>
            <w:tcW w:w="4394" w:type="dxa"/>
            <w:tcBorders>
              <w:left w:val="single" w:sz="6" w:space="0" w:color="000000"/>
              <w:bottom w:val="single" w:sz="4" w:space="0" w:color="auto"/>
              <w:right w:val="single" w:sz="6" w:space="0" w:color="000000"/>
            </w:tcBorders>
          </w:tcPr>
          <w:p w14:paraId="4DD8BE1B" w14:textId="77777777" w:rsidR="00871238" w:rsidRPr="00871238" w:rsidRDefault="00871238" w:rsidP="00871238">
            <w:pPr>
              <w:pStyle w:val="naisc"/>
              <w:ind w:left="-57" w:right="-101"/>
              <w:jc w:val="both"/>
              <w:rPr>
                <w:sz w:val="20"/>
                <w:szCs w:val="20"/>
              </w:rPr>
            </w:pPr>
            <w:r w:rsidRPr="00871238">
              <w:rPr>
                <w:sz w:val="20"/>
                <w:szCs w:val="20"/>
              </w:rPr>
              <w:t>Ņemot vērā Valsts kases piemēroto metodoloģiju, šobrīd aizdevumu līgumos iestrādāta norma, ka pirms termiņa veiktā aizdevuma vai aizdevuma daļas atmaksa tiek attiecināta secīgi uz kārtējiem pamatsummas maksājumiem.</w:t>
            </w:r>
          </w:p>
          <w:p w14:paraId="0F01F29F" w14:textId="77777777" w:rsidR="00871238" w:rsidRPr="00871238" w:rsidRDefault="00871238" w:rsidP="00871238">
            <w:pPr>
              <w:pStyle w:val="naisc"/>
              <w:ind w:left="-57" w:right="-101"/>
              <w:jc w:val="both"/>
              <w:rPr>
                <w:sz w:val="20"/>
                <w:szCs w:val="20"/>
              </w:rPr>
            </w:pPr>
            <w:r w:rsidRPr="00871238">
              <w:rPr>
                <w:sz w:val="20"/>
                <w:szCs w:val="20"/>
              </w:rPr>
              <w:t>Iestrādātā noteikuma norma paredz, ka pirms termiņa veiktā aizdevuma vai aizdevuma daļas atmaksa samazina galējo valsts aizdevuma atmaksas termiņu, secīgi tiek samazināts aizdevuma atmaksas termiņš, kas ir pretrunā attiecīgās pašvaldības pieņemtajam lēmumam par aizņēmuma saņemšanu (deputāti, balsojot par lēmumu ņemt aizņēmumu, jau ir noteikuši galējo atmaksas termiņu).</w:t>
            </w:r>
            <w:r>
              <w:rPr>
                <w:sz w:val="20"/>
                <w:szCs w:val="20"/>
              </w:rPr>
              <w:t xml:space="preserve"> </w:t>
            </w:r>
            <w:r w:rsidRPr="00871238">
              <w:rPr>
                <w:sz w:val="20"/>
                <w:szCs w:val="20"/>
              </w:rPr>
              <w:t xml:space="preserve">LLPA iebilst šādai redakcijai, jo tā ir pretruna likuma “Par pašvaldību budžetiem” 7. pantam, kurš nosaka, ka pašvaldības </w:t>
            </w:r>
            <w:r w:rsidRPr="00871238">
              <w:rPr>
                <w:sz w:val="20"/>
                <w:szCs w:val="20"/>
              </w:rPr>
              <w:lastRenderedPageBreak/>
              <w:t>savus budžetus izstrādā, apstiprina un izpilda patstāvīgi, un šāda redakcija nosaka, ka pašvaldībai ir jāprecizē arī saistošos noteikumus par budžetu, lai precizētu pašvaldības ilgtermiņa saistības.</w:t>
            </w:r>
          </w:p>
          <w:p w14:paraId="58C564F3" w14:textId="77777777" w:rsidR="00871238" w:rsidRPr="00871238" w:rsidRDefault="00871238" w:rsidP="00871238">
            <w:pPr>
              <w:pStyle w:val="naisc"/>
              <w:ind w:left="-57" w:right="-101"/>
              <w:jc w:val="both"/>
              <w:rPr>
                <w:sz w:val="20"/>
                <w:szCs w:val="20"/>
              </w:rPr>
            </w:pPr>
          </w:p>
          <w:p w14:paraId="27BE980B" w14:textId="77777777" w:rsidR="00871238" w:rsidRPr="00871238" w:rsidRDefault="00871238" w:rsidP="00871238">
            <w:pPr>
              <w:pStyle w:val="naisc"/>
              <w:ind w:left="-57" w:right="-101"/>
              <w:jc w:val="both"/>
              <w:rPr>
                <w:sz w:val="20"/>
                <w:szCs w:val="20"/>
              </w:rPr>
            </w:pPr>
            <w:r w:rsidRPr="00871238">
              <w:rPr>
                <w:sz w:val="20"/>
                <w:szCs w:val="20"/>
              </w:rPr>
              <w:t>Ņemot vērā, ka aizņēmums tiek piesaistīts arī priekšfinansējuma nodrošināšanai, var iestāties situācija, ka pašvaldībai iestājas pienākums no budžeta līdzekļiem dzēst pirmos pamatsummas maksājumus (kuri ietver gan līdzfinansējuma, gan priekšfinansējuma daļu) jo iepriekš saņemtie Eiropas Savienības fondu starpposma maksājumi ir novirzīti galējo aizdevuma atmaksas maksājumu dzēšanai.</w:t>
            </w:r>
          </w:p>
          <w:p w14:paraId="55DBA8B3" w14:textId="77777777" w:rsidR="00871238" w:rsidRPr="00871238" w:rsidRDefault="00871238" w:rsidP="00871238">
            <w:pPr>
              <w:pStyle w:val="naisc"/>
              <w:ind w:left="-57" w:right="-101"/>
              <w:jc w:val="both"/>
              <w:rPr>
                <w:sz w:val="20"/>
                <w:szCs w:val="20"/>
              </w:rPr>
            </w:pPr>
            <w:r w:rsidRPr="00871238">
              <w:rPr>
                <w:sz w:val="20"/>
                <w:szCs w:val="20"/>
              </w:rPr>
              <w:t xml:space="preserve">Attiecībā uz Noteikumu projektā 16. panta piedāvāto redakciju, kur noteiktas piecas darba dienas, LLPA vērš uzmanību, ka, ievērojot “Likuma par budžetu un finanšu vadību” prasības- budžeta izpildītājs var izdarīt budžeta izdevumus tikai to plānos noteikto asignējumu ietvaros, pašvaldībām bieži nav iespējams to izpildīt piecu darbdienu laikā. Aicinām izvērtēt iespēju salāgot normatīvajos aktos noteiktās prasības, veicot atbilstošus grozījumus. </w:t>
            </w:r>
          </w:p>
          <w:p w14:paraId="66E3B889" w14:textId="77777777" w:rsidR="00871238" w:rsidRPr="00871238" w:rsidRDefault="00871238" w:rsidP="00871238">
            <w:pPr>
              <w:pStyle w:val="naisc"/>
              <w:ind w:left="-57" w:right="-101"/>
              <w:jc w:val="both"/>
              <w:rPr>
                <w:sz w:val="20"/>
                <w:szCs w:val="20"/>
              </w:rPr>
            </w:pPr>
          </w:p>
          <w:p w14:paraId="492B53FC" w14:textId="77777777" w:rsidR="00871238" w:rsidRPr="00871238" w:rsidRDefault="00871238" w:rsidP="00871238">
            <w:pPr>
              <w:pStyle w:val="naisc"/>
              <w:ind w:left="-57" w:right="-101"/>
              <w:jc w:val="both"/>
              <w:rPr>
                <w:sz w:val="20"/>
                <w:szCs w:val="20"/>
              </w:rPr>
            </w:pPr>
            <w:r w:rsidRPr="00871238">
              <w:rPr>
                <w:sz w:val="20"/>
                <w:szCs w:val="20"/>
              </w:rPr>
              <w:t>Ņemot vērā minēto:</w:t>
            </w:r>
          </w:p>
          <w:p w14:paraId="1E41B9D3" w14:textId="77777777" w:rsidR="00871238" w:rsidRPr="00871238" w:rsidRDefault="00871238" w:rsidP="00871238">
            <w:pPr>
              <w:pStyle w:val="naisc"/>
              <w:ind w:left="-57" w:right="-101"/>
              <w:jc w:val="both"/>
              <w:rPr>
                <w:sz w:val="20"/>
                <w:szCs w:val="20"/>
              </w:rPr>
            </w:pPr>
            <w:r w:rsidRPr="00871238">
              <w:rPr>
                <w:sz w:val="20"/>
                <w:szCs w:val="20"/>
              </w:rPr>
              <w:t>1.</w:t>
            </w:r>
            <w:r w:rsidRPr="00871238">
              <w:rPr>
                <w:sz w:val="20"/>
                <w:szCs w:val="20"/>
              </w:rPr>
              <w:tab/>
              <w:t>LLPA aicina, lai izvairītos no dažādas normatīvā regulējuma interpretācijas, skaidri noteikt, ka valsts aizdevuma atmaksas daļa, kura tika izmantota projekta priekšfinansēšanai, ir atmaksājama piecu darbdienu laikā pēc noslēguma maksājuma saņemšanas no Sadarbības iestādes attiecīgā priekšfinansējuma apmērā.</w:t>
            </w:r>
          </w:p>
          <w:p w14:paraId="5A828DDF" w14:textId="77777777" w:rsidR="00871238" w:rsidRPr="00871238" w:rsidRDefault="00871238" w:rsidP="00871238">
            <w:pPr>
              <w:pStyle w:val="naisc"/>
              <w:ind w:left="-57" w:right="-101"/>
              <w:jc w:val="both"/>
              <w:rPr>
                <w:sz w:val="20"/>
                <w:szCs w:val="20"/>
              </w:rPr>
            </w:pPr>
            <w:r w:rsidRPr="00871238">
              <w:rPr>
                <w:sz w:val="20"/>
                <w:szCs w:val="20"/>
              </w:rPr>
              <w:t>2.</w:t>
            </w:r>
            <w:r w:rsidRPr="00871238">
              <w:rPr>
                <w:sz w:val="20"/>
                <w:szCs w:val="20"/>
              </w:rPr>
              <w:tab/>
              <w:t>LLPA lūdz precizēt Noteikumu projektu, ka pēc starpposma maksājumu novirzīšanas aizdevuma dzēšanai, slēdzot jaunu vienošanos par aizdevuma atlikušās summas atmaksas termiņu, var tikt saglabāts sākotnējā aizdevuma līgumā noteiktais aizdevuma atmaksas termiņš.</w:t>
            </w:r>
          </w:p>
          <w:p w14:paraId="5D898305" w14:textId="77777777" w:rsidR="00134188" w:rsidRPr="00871238" w:rsidRDefault="00871238" w:rsidP="00871238">
            <w:pPr>
              <w:pStyle w:val="naisc"/>
              <w:spacing w:before="0" w:after="0"/>
              <w:ind w:left="-57" w:right="-101"/>
              <w:jc w:val="both"/>
              <w:rPr>
                <w:sz w:val="20"/>
                <w:szCs w:val="20"/>
              </w:rPr>
            </w:pPr>
            <w:r w:rsidRPr="00871238">
              <w:rPr>
                <w:sz w:val="20"/>
                <w:szCs w:val="20"/>
              </w:rPr>
              <w:lastRenderedPageBreak/>
              <w:t>3.</w:t>
            </w:r>
            <w:r w:rsidRPr="00871238">
              <w:rPr>
                <w:sz w:val="20"/>
                <w:szCs w:val="20"/>
              </w:rPr>
              <w:tab/>
              <w:t>LLPA piedāvā izvērtēt iespēju iestrādāt normu, kas paredz, ka ar atmaksāto valsts aizdevuma daļu proporcionāli tiek samazināta katra atmaksas perioda apmērs, saglabājot līgumā noteikto atmaksas beigu termiņu.</w:t>
            </w:r>
          </w:p>
        </w:tc>
        <w:tc>
          <w:tcPr>
            <w:tcW w:w="4111" w:type="dxa"/>
            <w:tcBorders>
              <w:left w:val="single" w:sz="6" w:space="0" w:color="000000"/>
              <w:bottom w:val="single" w:sz="4" w:space="0" w:color="auto"/>
              <w:right w:val="single" w:sz="6" w:space="0" w:color="000000"/>
            </w:tcBorders>
          </w:tcPr>
          <w:p w14:paraId="7F743CF1" w14:textId="69C4ECEA" w:rsidR="00134188" w:rsidRPr="00272E80" w:rsidRDefault="00235F04" w:rsidP="000764E7">
            <w:pPr>
              <w:ind w:firstLine="720"/>
              <w:jc w:val="both"/>
              <w:rPr>
                <w:b/>
                <w:sz w:val="20"/>
                <w:szCs w:val="20"/>
              </w:rPr>
            </w:pPr>
            <w:r>
              <w:rPr>
                <w:b/>
                <w:sz w:val="20"/>
                <w:szCs w:val="20"/>
              </w:rPr>
              <w:lastRenderedPageBreak/>
              <w:t>Ņemts vērā.</w:t>
            </w:r>
          </w:p>
        </w:tc>
        <w:tc>
          <w:tcPr>
            <w:tcW w:w="2693" w:type="dxa"/>
            <w:tcBorders>
              <w:top w:val="single" w:sz="4" w:space="0" w:color="auto"/>
              <w:left w:val="single" w:sz="4" w:space="0" w:color="auto"/>
              <w:bottom w:val="single" w:sz="4" w:space="0" w:color="auto"/>
            </w:tcBorders>
          </w:tcPr>
          <w:p w14:paraId="2952D97F" w14:textId="77777777" w:rsidR="00D657BE" w:rsidRPr="00D657BE" w:rsidRDefault="00D657BE" w:rsidP="00D657BE">
            <w:pPr>
              <w:pStyle w:val="BodyText"/>
              <w:spacing w:after="0"/>
              <w:jc w:val="both"/>
              <w:rPr>
                <w:sz w:val="20"/>
                <w:szCs w:val="20"/>
              </w:rPr>
            </w:pPr>
            <w:r>
              <w:rPr>
                <w:sz w:val="20"/>
                <w:szCs w:val="20"/>
              </w:rPr>
              <w:t xml:space="preserve">16. </w:t>
            </w:r>
            <w:r w:rsidRPr="00D657BE">
              <w:rPr>
                <w:sz w:val="20"/>
                <w:szCs w:val="20"/>
              </w:rPr>
              <w:t xml:space="preserve">Ja aizņēmējs valsts aizdevumu izmanto Eiropas Savienības fondu un pārējās ārvalstu finanšu palīdzības līdzfinansēto projektu īstenošanas priekšfinansēšanai vai  valsts budžeta dotācijas priekšfinansēšanai, aizņēmējs piecu darbdienu laikā pēc attiecīgā finansējuma saņemšanas atmaksā valsts aizdevuma daļu saņemtā priekšfinansējuma apmērā, dzēšot pamatsummas maksājumus no valsts aizdevuma atmaksas grafika </w:t>
            </w:r>
            <w:r w:rsidRPr="00D657BE">
              <w:rPr>
                <w:sz w:val="20"/>
                <w:szCs w:val="20"/>
              </w:rPr>
              <w:lastRenderedPageBreak/>
              <w:t>beigām un attiecīgi samazinot galējo valsts aizdevuma atmaksas termiņu, vai pēc Aizņēmēja rakstiska iesnieguma, attiecinot valsts aizdevuma daļas atmaksu proporcionāli uz visiem pamatsummas maksājumiem.</w:t>
            </w:r>
          </w:p>
          <w:p w14:paraId="6A6E9EFF" w14:textId="77777777" w:rsidR="00134188" w:rsidRPr="00D657BE" w:rsidRDefault="00134188" w:rsidP="00E44377">
            <w:pPr>
              <w:jc w:val="both"/>
              <w:rPr>
                <w:sz w:val="20"/>
                <w:szCs w:val="20"/>
              </w:rPr>
            </w:pPr>
          </w:p>
        </w:tc>
      </w:tr>
      <w:tr w:rsidR="00871238" w:rsidRPr="00712B66" w14:paraId="0B651FD2" w14:textId="77777777">
        <w:tc>
          <w:tcPr>
            <w:tcW w:w="708" w:type="dxa"/>
            <w:tcBorders>
              <w:left w:val="single" w:sz="6" w:space="0" w:color="000000"/>
              <w:bottom w:val="single" w:sz="4" w:space="0" w:color="auto"/>
              <w:right w:val="single" w:sz="6" w:space="0" w:color="000000"/>
            </w:tcBorders>
          </w:tcPr>
          <w:p w14:paraId="325A6C27" w14:textId="77777777" w:rsidR="00871238" w:rsidRDefault="00B77503" w:rsidP="00871238">
            <w:pPr>
              <w:pStyle w:val="naisc"/>
              <w:spacing w:before="0" w:after="0"/>
              <w:rPr>
                <w:sz w:val="20"/>
                <w:szCs w:val="20"/>
              </w:rPr>
            </w:pPr>
            <w:r>
              <w:rPr>
                <w:sz w:val="20"/>
                <w:szCs w:val="20"/>
              </w:rPr>
              <w:lastRenderedPageBreak/>
              <w:t>2.</w:t>
            </w:r>
          </w:p>
        </w:tc>
        <w:tc>
          <w:tcPr>
            <w:tcW w:w="3086" w:type="dxa"/>
            <w:tcBorders>
              <w:left w:val="single" w:sz="6" w:space="0" w:color="000000"/>
              <w:bottom w:val="single" w:sz="4" w:space="0" w:color="auto"/>
              <w:right w:val="single" w:sz="6" w:space="0" w:color="000000"/>
            </w:tcBorders>
          </w:tcPr>
          <w:p w14:paraId="51F3DD99" w14:textId="77777777" w:rsidR="00871238" w:rsidRPr="00871238" w:rsidRDefault="00871238" w:rsidP="00644A69">
            <w:pPr>
              <w:jc w:val="both"/>
              <w:rPr>
                <w:sz w:val="20"/>
                <w:szCs w:val="20"/>
              </w:rPr>
            </w:pPr>
            <w:r w:rsidRPr="00871238">
              <w:rPr>
                <w:sz w:val="20"/>
                <w:szCs w:val="20"/>
              </w:rPr>
              <w:t>30. Pašvaldību kapitālsabiedrība var pretendēt uz valsts aizdevuma saņemšanu, ja pašvaldības vai vairāku pašvaldību galvojums atbilstoši to kapitāla daļu skaitam attiecīgajā pamatkapitālā ir 100</w:t>
            </w:r>
            <w:r>
              <w:rPr>
                <w:sz w:val="20"/>
                <w:szCs w:val="20"/>
              </w:rPr>
              <w:t xml:space="preserve"> % no valsts aizdevuma summas.</w:t>
            </w:r>
          </w:p>
        </w:tc>
        <w:tc>
          <w:tcPr>
            <w:tcW w:w="4394" w:type="dxa"/>
            <w:tcBorders>
              <w:left w:val="single" w:sz="6" w:space="0" w:color="000000"/>
              <w:bottom w:val="single" w:sz="4" w:space="0" w:color="auto"/>
              <w:right w:val="single" w:sz="6" w:space="0" w:color="000000"/>
            </w:tcBorders>
          </w:tcPr>
          <w:p w14:paraId="138910B9" w14:textId="77777777" w:rsidR="00871238" w:rsidRPr="00871238" w:rsidRDefault="00871238" w:rsidP="00871238">
            <w:pPr>
              <w:pStyle w:val="naisc"/>
              <w:ind w:left="-57" w:right="-101"/>
              <w:jc w:val="both"/>
              <w:rPr>
                <w:sz w:val="20"/>
                <w:szCs w:val="20"/>
              </w:rPr>
            </w:pPr>
            <w:r w:rsidRPr="00871238">
              <w:rPr>
                <w:sz w:val="20"/>
                <w:szCs w:val="20"/>
              </w:rPr>
              <w:t>Saskaņā ar spēkā esošo normatīvu , lai saņemtu valsts aizdevumu pašvaldību kapitālsabiedrības, kuru daļa pamatkapitālā pārsniedz 50 %, par valsts aizdevuma nodrošinājumu var noteikt hipotēku vai komercķīlu, novērtējumu nekustamajam īpašumam, kuru plānots uzbūvēt, vai kustamai mantai, kuru plānots iegādāties, kā arī pašvaldības sniegtais galvojums.</w:t>
            </w:r>
          </w:p>
          <w:p w14:paraId="0C535064" w14:textId="77777777" w:rsidR="00871238" w:rsidRPr="00871238" w:rsidRDefault="00871238" w:rsidP="00871238">
            <w:pPr>
              <w:pStyle w:val="naisc"/>
              <w:ind w:left="-57" w:right="-101"/>
              <w:jc w:val="both"/>
              <w:rPr>
                <w:sz w:val="20"/>
                <w:szCs w:val="20"/>
              </w:rPr>
            </w:pPr>
            <w:r w:rsidRPr="00871238">
              <w:rPr>
                <w:sz w:val="20"/>
                <w:szCs w:val="20"/>
              </w:rPr>
              <w:t>Izstrādāto noteikumu projekta “Kārtība, kādā ministrijas un citas centrālās valsts iestādes iekļauj gadskārtējā valsts budžeta likumprojektā valsts aizdevumu pieprasījumus, un valsts aizdevumu izsniegšanas un apkalpošanas kārtība” sadaļā VII. Valsts aizdevuma izsniegšana valsts kapitālsabiedrībā, ostu pārvaldēm un zinātniskajām institūcijām tiek paredzēts, ka valsts aizdevuma nodrošinājums ir pamatlīdzekļi (hipotēka vai komercķīla), aizdevuma pretendenta aktīvu kopums vai cits nodrošinājums. Savukārt, pašvaldību kapitālsabiedrības aizdevumu var saņemt tikai tad, ja par nodrošinājumu kalpo pašvaldības galvojums.</w:t>
            </w:r>
          </w:p>
          <w:p w14:paraId="733FD53B" w14:textId="77777777" w:rsidR="00871238" w:rsidRPr="00871238" w:rsidRDefault="00871238" w:rsidP="00871238">
            <w:pPr>
              <w:pStyle w:val="naisc"/>
              <w:ind w:left="-57" w:right="-101"/>
              <w:jc w:val="both"/>
              <w:rPr>
                <w:sz w:val="20"/>
                <w:szCs w:val="20"/>
              </w:rPr>
            </w:pPr>
            <w:r w:rsidRPr="00871238">
              <w:rPr>
                <w:sz w:val="20"/>
                <w:szCs w:val="20"/>
              </w:rPr>
              <w:t>Izstrādāto noteikumu projekts nenodrošina vienlīdzīgus nosacījumus valsts aizdevuma izsniegšanai pašvaldību kapitālsabiedrībām un valsts kapitālsabiedrībām, ostu pārvaldēm un zinātniskajām institūcijām.</w:t>
            </w:r>
          </w:p>
          <w:p w14:paraId="72E42E85" w14:textId="77777777" w:rsidR="00871238" w:rsidRPr="00871238" w:rsidRDefault="00871238" w:rsidP="00871238">
            <w:pPr>
              <w:pStyle w:val="naisc"/>
              <w:spacing w:before="0" w:after="0"/>
              <w:ind w:left="-57" w:right="-101"/>
              <w:jc w:val="both"/>
              <w:rPr>
                <w:sz w:val="20"/>
                <w:szCs w:val="20"/>
              </w:rPr>
            </w:pPr>
            <w:r w:rsidRPr="00871238">
              <w:rPr>
                <w:sz w:val="20"/>
                <w:szCs w:val="20"/>
              </w:rPr>
              <w:t>Piedāvājām noteikt vienādus principus valsts aizdevuma nodrošinājumam pašvaldības kapitālsabiedrībām un valsts kapitālsabiedrībām, ostu pārvaldēm un zinātniskajām institūcijām, paredzot kā nodrošinājumu pašvaldības kapitālsabiedrībām pamatlīdzekļus (hipotēka vai komercķīla), aizdevuma pretendenta aktīvu kopumu vai cits nodrošinājumu.</w:t>
            </w:r>
          </w:p>
        </w:tc>
        <w:tc>
          <w:tcPr>
            <w:tcW w:w="4111" w:type="dxa"/>
            <w:tcBorders>
              <w:left w:val="single" w:sz="6" w:space="0" w:color="000000"/>
              <w:bottom w:val="single" w:sz="4" w:space="0" w:color="auto"/>
              <w:right w:val="single" w:sz="6" w:space="0" w:color="000000"/>
            </w:tcBorders>
          </w:tcPr>
          <w:p w14:paraId="43A842B5" w14:textId="77777777" w:rsidR="00235F04" w:rsidRPr="00235F04" w:rsidRDefault="00235F04" w:rsidP="00235F04">
            <w:pPr>
              <w:pStyle w:val="naisc"/>
              <w:spacing w:before="0" w:after="0"/>
              <w:ind w:right="-101"/>
              <w:rPr>
                <w:b/>
                <w:sz w:val="20"/>
                <w:szCs w:val="20"/>
              </w:rPr>
            </w:pPr>
            <w:r w:rsidRPr="00235F04">
              <w:rPr>
                <w:b/>
                <w:sz w:val="20"/>
                <w:szCs w:val="20"/>
              </w:rPr>
              <w:t>Panākta vienošanās.</w:t>
            </w:r>
          </w:p>
          <w:p w14:paraId="36D98859" w14:textId="460B898A" w:rsidR="00871238" w:rsidRDefault="00237D92" w:rsidP="00D657BE">
            <w:pPr>
              <w:pStyle w:val="naisc"/>
              <w:spacing w:before="0" w:after="0"/>
              <w:ind w:right="-101"/>
              <w:jc w:val="both"/>
              <w:rPr>
                <w:b/>
                <w:sz w:val="20"/>
                <w:szCs w:val="20"/>
                <w:shd w:val="clear" w:color="auto" w:fill="FFFFFF"/>
              </w:rPr>
            </w:pPr>
            <w:r w:rsidRPr="00237D92">
              <w:rPr>
                <w:sz w:val="20"/>
                <w:szCs w:val="20"/>
              </w:rPr>
              <w:t>Valsts aizdevumu sniegšanas un apkalpošanas procesa nodrošināšanas pilnveidošanai, izslēdzot tādus gadījumus, kad aizdevums var tikt izsniegts tādiem subjektiem, kam tas nepienāktos pēc kredītspējas un nodrošinājuma attiecības pret pieprasītā valsts aizdevuma apmēru</w:t>
            </w:r>
            <w:r w:rsidR="004B5039">
              <w:rPr>
                <w:sz w:val="20"/>
                <w:szCs w:val="20"/>
              </w:rPr>
              <w:t>,</w:t>
            </w:r>
            <w:r w:rsidRPr="00237D92">
              <w:rPr>
                <w:sz w:val="20"/>
                <w:szCs w:val="20"/>
              </w:rPr>
              <w:t xml:space="preserve">  </w:t>
            </w:r>
            <w:r w:rsidRPr="00BE6351">
              <w:rPr>
                <w:b/>
                <w:sz w:val="20"/>
                <w:szCs w:val="20"/>
              </w:rPr>
              <w:t xml:space="preserve">Likuma par budžetu un finanšu vadību 36.panta </w:t>
            </w:r>
            <w:r w:rsidRPr="00BE6351">
              <w:rPr>
                <w:b/>
                <w:sz w:val="20"/>
                <w:szCs w:val="20"/>
                <w:shd w:val="clear" w:color="auto" w:fill="FFFFFF"/>
              </w:rPr>
              <w:t>(5</w:t>
            </w:r>
            <w:r w:rsidRPr="00BE6351">
              <w:rPr>
                <w:b/>
                <w:sz w:val="20"/>
                <w:szCs w:val="20"/>
                <w:shd w:val="clear" w:color="auto" w:fill="FFFFFF"/>
                <w:vertAlign w:val="superscript"/>
              </w:rPr>
              <w:t>4</w:t>
            </w:r>
            <w:r w:rsidRPr="00BE6351">
              <w:rPr>
                <w:b/>
                <w:sz w:val="20"/>
                <w:szCs w:val="20"/>
                <w:shd w:val="clear" w:color="auto" w:fill="FFFFFF"/>
              </w:rPr>
              <w:t>) daļā ir noteikti nosacījumi, kad finanšu ministrs</w:t>
            </w:r>
            <w:r w:rsidRPr="008E0A25">
              <w:rPr>
                <w:b/>
                <w:bCs/>
                <w:sz w:val="20"/>
                <w:szCs w:val="20"/>
                <w:shd w:val="clear" w:color="auto" w:fill="FFFFFF"/>
              </w:rPr>
              <w:t> </w:t>
            </w:r>
            <w:r w:rsidRPr="00BE6351">
              <w:rPr>
                <w:b/>
                <w:sz w:val="20"/>
                <w:szCs w:val="20"/>
                <w:shd w:val="clear" w:color="auto" w:fill="FFFFFF"/>
              </w:rPr>
              <w:t xml:space="preserve">neizsniedz valsts aizdevumu, </w:t>
            </w:r>
            <w:r w:rsidRPr="008E0A25">
              <w:rPr>
                <w:sz w:val="20"/>
                <w:szCs w:val="20"/>
                <w:shd w:val="clear" w:color="auto" w:fill="FFFFFF"/>
              </w:rPr>
              <w:t>t.sk. ja par kapitālsabiedrības, kurā pašvaldības daļa pamatkapitālā atsevišķi vai</w:t>
            </w:r>
            <w:r w:rsidR="00644A69" w:rsidRPr="008E0A25">
              <w:rPr>
                <w:sz w:val="20"/>
                <w:szCs w:val="20"/>
                <w:shd w:val="clear" w:color="auto" w:fill="FFFFFF"/>
              </w:rPr>
              <w:t xml:space="preserve"> kopsummā pārsniedz 50 %</w:t>
            </w:r>
            <w:r w:rsidRPr="007C25F2">
              <w:rPr>
                <w:sz w:val="20"/>
                <w:szCs w:val="20"/>
                <w:shd w:val="clear" w:color="auto" w:fill="FFFFFF"/>
              </w:rPr>
              <w:t>, un vairāku pašvaldību veidotas kapitālsabiedrības, kurā pašvaldību daļa pamatka</w:t>
            </w:r>
            <w:r w:rsidR="00644A69" w:rsidRPr="007C25F2">
              <w:rPr>
                <w:sz w:val="20"/>
                <w:szCs w:val="20"/>
                <w:shd w:val="clear" w:color="auto" w:fill="FFFFFF"/>
              </w:rPr>
              <w:t>pitālā kopsummā pārsniedz 65 %</w:t>
            </w:r>
            <w:r w:rsidRPr="007C25F2">
              <w:rPr>
                <w:sz w:val="20"/>
                <w:szCs w:val="20"/>
                <w:shd w:val="clear" w:color="auto" w:fill="FFFFFF"/>
              </w:rPr>
              <w:t>, saistībām, kas izriet no valsts aizdevuma,</w:t>
            </w:r>
            <w:r w:rsidRPr="00BE6351">
              <w:rPr>
                <w:b/>
                <w:sz w:val="20"/>
                <w:szCs w:val="20"/>
                <w:shd w:val="clear" w:color="auto" w:fill="FFFFFF"/>
              </w:rPr>
              <w:t xml:space="preserve"> </w:t>
            </w:r>
            <w:r w:rsidRPr="00237D92">
              <w:rPr>
                <w:b/>
                <w:sz w:val="20"/>
                <w:szCs w:val="20"/>
                <w:shd w:val="clear" w:color="auto" w:fill="FFFFFF"/>
              </w:rPr>
              <w:t>nav sniegts pašvaldības vai vairāku p</w:t>
            </w:r>
            <w:r w:rsidR="00644A69">
              <w:rPr>
                <w:b/>
                <w:sz w:val="20"/>
                <w:szCs w:val="20"/>
                <w:shd w:val="clear" w:color="auto" w:fill="FFFFFF"/>
              </w:rPr>
              <w:t>ašvaldību galvojums 100 %</w:t>
            </w:r>
            <w:r w:rsidRPr="00237D92">
              <w:rPr>
                <w:b/>
                <w:sz w:val="20"/>
                <w:szCs w:val="20"/>
                <w:shd w:val="clear" w:color="auto" w:fill="FFFFFF"/>
              </w:rPr>
              <w:t xml:space="preserve"> apmērā no valsts aizdevuma apmēra.</w:t>
            </w:r>
          </w:p>
          <w:p w14:paraId="525084B0" w14:textId="77777777" w:rsidR="00C64C20" w:rsidRDefault="00C64C20" w:rsidP="00C64C20">
            <w:pPr>
              <w:pStyle w:val="naisc"/>
              <w:spacing w:before="0" w:after="0"/>
              <w:ind w:right="-101"/>
              <w:jc w:val="both"/>
              <w:rPr>
                <w:b/>
                <w:sz w:val="20"/>
                <w:szCs w:val="20"/>
                <w:shd w:val="clear" w:color="auto" w:fill="FFFFFF"/>
              </w:rPr>
            </w:pPr>
          </w:p>
          <w:p w14:paraId="75FF4347" w14:textId="77777777" w:rsidR="00AC0293" w:rsidRPr="00AC0293" w:rsidRDefault="00AC0293" w:rsidP="00871238">
            <w:pPr>
              <w:pStyle w:val="naisc"/>
              <w:spacing w:before="0" w:after="0"/>
              <w:ind w:left="-57" w:right="-101"/>
              <w:jc w:val="both"/>
              <w:rPr>
                <w:color w:val="FF0000"/>
                <w:sz w:val="20"/>
                <w:szCs w:val="20"/>
              </w:rPr>
            </w:pPr>
          </w:p>
        </w:tc>
        <w:tc>
          <w:tcPr>
            <w:tcW w:w="2693" w:type="dxa"/>
            <w:tcBorders>
              <w:top w:val="single" w:sz="4" w:space="0" w:color="auto"/>
              <w:left w:val="single" w:sz="4" w:space="0" w:color="auto"/>
              <w:bottom w:val="single" w:sz="4" w:space="0" w:color="auto"/>
            </w:tcBorders>
          </w:tcPr>
          <w:p w14:paraId="5CC4F7D9" w14:textId="77777777" w:rsidR="00871238" w:rsidRPr="00871238" w:rsidRDefault="00D657BE" w:rsidP="00871238">
            <w:pPr>
              <w:ind w:left="-57" w:right="-101"/>
              <w:jc w:val="both"/>
              <w:rPr>
                <w:sz w:val="20"/>
                <w:szCs w:val="20"/>
              </w:rPr>
            </w:pPr>
            <w:r w:rsidRPr="00871238">
              <w:rPr>
                <w:sz w:val="20"/>
                <w:szCs w:val="20"/>
              </w:rPr>
              <w:t>30. Pašvaldību kapitālsabiedrība var pretendēt uz valsts aizdevuma saņemšanu, ja pašvaldības vai vairāku pašvaldību galvojums atbilstoši to kapitāla daļu skaitam attiecīgajā pamatkapitālā ir 100</w:t>
            </w:r>
            <w:r>
              <w:rPr>
                <w:sz w:val="20"/>
                <w:szCs w:val="20"/>
              </w:rPr>
              <w:t xml:space="preserve"> % no valsts aizdevuma summas.</w:t>
            </w:r>
          </w:p>
        </w:tc>
      </w:tr>
      <w:tr w:rsidR="00871238" w:rsidRPr="00712B66" w14:paraId="047E6F94" w14:textId="77777777">
        <w:tc>
          <w:tcPr>
            <w:tcW w:w="708" w:type="dxa"/>
            <w:tcBorders>
              <w:left w:val="single" w:sz="6" w:space="0" w:color="000000"/>
              <w:bottom w:val="single" w:sz="4" w:space="0" w:color="auto"/>
              <w:right w:val="single" w:sz="6" w:space="0" w:color="000000"/>
            </w:tcBorders>
          </w:tcPr>
          <w:p w14:paraId="4182628D" w14:textId="77777777" w:rsidR="00871238" w:rsidRDefault="00B77503" w:rsidP="00871238">
            <w:pPr>
              <w:pStyle w:val="naisc"/>
              <w:spacing w:before="0" w:after="0"/>
              <w:rPr>
                <w:sz w:val="20"/>
                <w:szCs w:val="20"/>
              </w:rPr>
            </w:pPr>
            <w:r>
              <w:rPr>
                <w:sz w:val="20"/>
                <w:szCs w:val="20"/>
              </w:rPr>
              <w:lastRenderedPageBreak/>
              <w:t>3.</w:t>
            </w:r>
          </w:p>
        </w:tc>
        <w:tc>
          <w:tcPr>
            <w:tcW w:w="3086" w:type="dxa"/>
            <w:tcBorders>
              <w:left w:val="single" w:sz="6" w:space="0" w:color="000000"/>
              <w:bottom w:val="single" w:sz="4" w:space="0" w:color="auto"/>
              <w:right w:val="single" w:sz="6" w:space="0" w:color="000000"/>
            </w:tcBorders>
          </w:tcPr>
          <w:p w14:paraId="420B9BF5" w14:textId="77777777" w:rsidR="00871238" w:rsidRPr="00871238" w:rsidRDefault="00871238" w:rsidP="00871238">
            <w:pPr>
              <w:pStyle w:val="naisc"/>
              <w:ind w:left="-57" w:right="-101"/>
              <w:jc w:val="both"/>
              <w:rPr>
                <w:sz w:val="20"/>
                <w:szCs w:val="20"/>
              </w:rPr>
            </w:pPr>
            <w:r w:rsidRPr="00871238">
              <w:rPr>
                <w:sz w:val="20"/>
                <w:szCs w:val="20"/>
              </w:rPr>
              <w:t>66. Pēc aizņēmēja rakstiska pieteikuma saņemšanas Valsts kase pārskata valsts aizdevuma procentu likmi izsniegtajam valsts aizdevumam vienu reizi līguma darbības laikā saskaņā ar šādiem nosacījumiem:</w:t>
            </w:r>
          </w:p>
          <w:p w14:paraId="526ACC96" w14:textId="77777777" w:rsidR="00871238" w:rsidRPr="00871238" w:rsidRDefault="00871238" w:rsidP="00871238">
            <w:pPr>
              <w:pStyle w:val="naisc"/>
              <w:ind w:left="-57" w:right="-101"/>
              <w:jc w:val="both"/>
              <w:rPr>
                <w:sz w:val="20"/>
                <w:szCs w:val="20"/>
              </w:rPr>
            </w:pPr>
            <w:r w:rsidRPr="00871238">
              <w:rPr>
                <w:sz w:val="20"/>
                <w:szCs w:val="20"/>
              </w:rPr>
              <w:t>66.1. sākot ar otro izsniegtā valsts aizdevuma līguma darbības gadu, ja starpība starp iepriekš noteikto aizdevuma procentu likmi un to likmi, ko piemēro no valsts budžeta izsniedzamajiem aizdevumiem atbilstošajā valūtā, ir lielāka par vienu procentu un atlikušais termiņš līdz aizdevuma atmaksas beigu termiņam pārsniedz divus gadus;</w:t>
            </w:r>
          </w:p>
          <w:p w14:paraId="66377460" w14:textId="77777777" w:rsidR="00871238" w:rsidRPr="00871238" w:rsidRDefault="00871238" w:rsidP="00871238">
            <w:pPr>
              <w:pStyle w:val="naisc"/>
              <w:ind w:left="-57" w:right="-101"/>
              <w:jc w:val="both"/>
              <w:rPr>
                <w:sz w:val="20"/>
                <w:szCs w:val="20"/>
              </w:rPr>
            </w:pPr>
            <w:r w:rsidRPr="00871238">
              <w:rPr>
                <w:sz w:val="20"/>
                <w:szCs w:val="20"/>
              </w:rPr>
              <w:t>66.2. valsts aizdevuma procentu likmes fiksēšanas periodu drīkst mainīt, ievērojot šo noteikumu 62., 63. un 64. punktā minētos nosacījumus, nepiemērojot šo noteikumu 66.1. apakšpunkta nosacījumus.</w:t>
            </w:r>
          </w:p>
          <w:p w14:paraId="78787790" w14:textId="77777777" w:rsidR="00871238" w:rsidRPr="00871238" w:rsidRDefault="00871238" w:rsidP="00871238">
            <w:pPr>
              <w:pStyle w:val="naisc"/>
              <w:spacing w:before="0" w:after="0"/>
              <w:ind w:left="-57" w:right="-101"/>
              <w:jc w:val="both"/>
              <w:rPr>
                <w:sz w:val="20"/>
                <w:szCs w:val="20"/>
              </w:rPr>
            </w:pPr>
          </w:p>
        </w:tc>
        <w:tc>
          <w:tcPr>
            <w:tcW w:w="4394" w:type="dxa"/>
            <w:tcBorders>
              <w:left w:val="single" w:sz="6" w:space="0" w:color="000000"/>
              <w:bottom w:val="single" w:sz="4" w:space="0" w:color="auto"/>
              <w:right w:val="single" w:sz="6" w:space="0" w:color="000000"/>
            </w:tcBorders>
          </w:tcPr>
          <w:p w14:paraId="408FD6B5" w14:textId="77777777" w:rsidR="00871238" w:rsidRPr="00871238" w:rsidRDefault="00871238" w:rsidP="00871238">
            <w:pPr>
              <w:pStyle w:val="naisc"/>
              <w:ind w:left="-57" w:right="-101"/>
              <w:jc w:val="both"/>
              <w:rPr>
                <w:sz w:val="20"/>
                <w:szCs w:val="20"/>
              </w:rPr>
            </w:pPr>
            <w:r w:rsidRPr="00871238">
              <w:rPr>
                <w:sz w:val="20"/>
                <w:szCs w:val="20"/>
              </w:rPr>
              <w:t>Ņemot vērā, ka aizņēmējs nevar ietekmēt aizdevuma procentu likmi, kas atkarīga no tirgus situācijas, dažādiem ārējiem faktoriem un nav prognozējama ilgtermiņā, piedāvātā noteikuma norma ir ierobežojoša attiecībā uz aizņēmēju.</w:t>
            </w:r>
          </w:p>
          <w:p w14:paraId="692CC048" w14:textId="77777777" w:rsidR="00871238" w:rsidRPr="00871238" w:rsidRDefault="00871238" w:rsidP="00871238">
            <w:pPr>
              <w:pStyle w:val="naisc"/>
              <w:ind w:left="-57" w:right="-101"/>
              <w:jc w:val="both"/>
              <w:rPr>
                <w:sz w:val="20"/>
                <w:szCs w:val="20"/>
              </w:rPr>
            </w:pPr>
            <w:r w:rsidRPr="00871238">
              <w:rPr>
                <w:sz w:val="20"/>
                <w:szCs w:val="20"/>
              </w:rPr>
              <w:t>Attiecīgi, ja aizņēmums ir ilgtermiņa no 10 – 30 gadiem, un vienreiz jau veikta aizdevuma procentu likmes izmaiņa, tad aizņēmēja (pašvaldību) izmaksas aizdevumu procentu apmaksai palielinātos procentu likmes pieauguma gadījumā (piemēram, 1 000 000 EUR aizdevumam pieaugot procentu likmei par 1 %, izmaksas pieaug par 10 000 EUR).</w:t>
            </w:r>
          </w:p>
          <w:p w14:paraId="74D984E3" w14:textId="77777777" w:rsidR="00871238" w:rsidRPr="00871238" w:rsidRDefault="00871238" w:rsidP="00871238">
            <w:pPr>
              <w:pStyle w:val="naisc"/>
              <w:spacing w:before="0" w:after="0"/>
              <w:ind w:left="-57" w:right="-101"/>
              <w:jc w:val="both"/>
              <w:rPr>
                <w:sz w:val="20"/>
                <w:szCs w:val="20"/>
              </w:rPr>
            </w:pPr>
            <w:r w:rsidRPr="00871238">
              <w:rPr>
                <w:sz w:val="20"/>
                <w:szCs w:val="20"/>
              </w:rPr>
              <w:t>Ņemot vērā, ka iepriekš noteikumi paredzēja “maiņa notiek ne biežāk kā vienu reizi kalendāra gada laikā”, iebilstam pret jauno redakciju un lūdzam saglabāt iespēju mainīt aizdevuma procentu likmi ne biežāk kā vienu reizi kalendāra gada laikā.</w:t>
            </w:r>
          </w:p>
        </w:tc>
        <w:tc>
          <w:tcPr>
            <w:tcW w:w="4111" w:type="dxa"/>
            <w:tcBorders>
              <w:left w:val="single" w:sz="6" w:space="0" w:color="000000"/>
              <w:bottom w:val="single" w:sz="4" w:space="0" w:color="auto"/>
              <w:right w:val="single" w:sz="6" w:space="0" w:color="000000"/>
            </w:tcBorders>
          </w:tcPr>
          <w:p w14:paraId="4457E92A" w14:textId="0748FE7C" w:rsidR="00A60497" w:rsidRDefault="00235F04" w:rsidP="006E5A5B">
            <w:pPr>
              <w:jc w:val="center"/>
              <w:rPr>
                <w:sz w:val="20"/>
                <w:szCs w:val="20"/>
              </w:rPr>
            </w:pPr>
            <w:r>
              <w:rPr>
                <w:b/>
                <w:sz w:val="20"/>
                <w:szCs w:val="20"/>
              </w:rPr>
              <w:t>Panākta vienošanās.</w:t>
            </w:r>
          </w:p>
          <w:p w14:paraId="7B98D076" w14:textId="77777777" w:rsidR="00A60497" w:rsidRDefault="00A60497" w:rsidP="005C5C06">
            <w:pPr>
              <w:jc w:val="both"/>
              <w:rPr>
                <w:sz w:val="20"/>
                <w:szCs w:val="20"/>
              </w:rPr>
            </w:pPr>
            <w:r>
              <w:rPr>
                <w:sz w:val="20"/>
                <w:szCs w:val="20"/>
              </w:rPr>
              <w:t>Valsts kase, lai nodrošinātu finanšu resursu pieejamību aizņēmējiem valsts aizdevuma veidā emitē valsts vērtspapīrus vai veic aizņēmumus no finanšu institūcijām.</w:t>
            </w:r>
          </w:p>
          <w:p w14:paraId="308247C3" w14:textId="77777777" w:rsidR="00A60497" w:rsidRDefault="00A60497" w:rsidP="005C5C06">
            <w:pPr>
              <w:jc w:val="both"/>
              <w:rPr>
                <w:sz w:val="20"/>
                <w:szCs w:val="20"/>
              </w:rPr>
            </w:pPr>
          </w:p>
          <w:p w14:paraId="1107D84A" w14:textId="77777777" w:rsidR="00A60497" w:rsidRDefault="00CB5ABF" w:rsidP="005C5C06">
            <w:pPr>
              <w:jc w:val="both"/>
              <w:rPr>
                <w:sz w:val="20"/>
                <w:szCs w:val="20"/>
              </w:rPr>
            </w:pPr>
            <w:r>
              <w:rPr>
                <w:sz w:val="20"/>
                <w:szCs w:val="20"/>
              </w:rPr>
              <w:t>Valsts kase piesaista finanšu resursus ar mainīgu vai fiksētu procentu likmi un atbilstoši valsts parāda vadības stratēģijai izmanto atvasinātos finanšu instrumentus, lai ierobežotu procentu likmju svārstību risku.</w:t>
            </w:r>
          </w:p>
          <w:p w14:paraId="75013731" w14:textId="77777777" w:rsidR="00CB5ABF" w:rsidRDefault="00CB5ABF" w:rsidP="005C5C06">
            <w:pPr>
              <w:jc w:val="both"/>
              <w:rPr>
                <w:sz w:val="20"/>
                <w:szCs w:val="20"/>
              </w:rPr>
            </w:pPr>
          </w:p>
          <w:p w14:paraId="4AAF485D" w14:textId="0D661DA8" w:rsidR="00CB5ABF" w:rsidRPr="00CB5ABF" w:rsidRDefault="00CB5ABF" w:rsidP="005C5C06">
            <w:pPr>
              <w:jc w:val="both"/>
              <w:rPr>
                <w:sz w:val="20"/>
                <w:szCs w:val="20"/>
              </w:rPr>
            </w:pPr>
            <w:r>
              <w:rPr>
                <w:sz w:val="20"/>
                <w:szCs w:val="20"/>
              </w:rPr>
              <w:t xml:space="preserve">Savukārt aizņēmējiem pieejamā procentu likmju pārskatīšanas kārtība neveicina atbildīgu finanšu risku vadību, jo procentu likmju samazināšanās gadījumā viņiem </w:t>
            </w:r>
            <w:r w:rsidR="00671E51">
              <w:rPr>
                <w:sz w:val="20"/>
                <w:szCs w:val="20"/>
              </w:rPr>
              <w:t>ir</w:t>
            </w:r>
            <w:r>
              <w:rPr>
                <w:sz w:val="20"/>
                <w:szCs w:val="20"/>
              </w:rPr>
              <w:t xml:space="preserve"> tiesības lūgt samazināt piemērojamo procentu likmi, bet procentu likmju kāpuma gadījumā Valsts kasei nav tiesības to palielināt</w:t>
            </w:r>
            <w:r w:rsidR="00671E51">
              <w:rPr>
                <w:sz w:val="20"/>
                <w:szCs w:val="20"/>
              </w:rPr>
              <w:t>, izņemot, ja piemērota mainīgā procentu likme</w:t>
            </w:r>
            <w:r>
              <w:rPr>
                <w:sz w:val="20"/>
                <w:szCs w:val="20"/>
              </w:rPr>
              <w:t xml:space="preserve">. </w:t>
            </w:r>
          </w:p>
          <w:p w14:paraId="4177F179" w14:textId="77777777" w:rsidR="00A60497" w:rsidRDefault="00A60497" w:rsidP="005C5C06">
            <w:pPr>
              <w:jc w:val="both"/>
              <w:rPr>
                <w:sz w:val="20"/>
                <w:szCs w:val="20"/>
              </w:rPr>
            </w:pPr>
          </w:p>
          <w:p w14:paraId="54378FB7" w14:textId="1CFF6C36" w:rsidR="00671E51" w:rsidRDefault="00A60497" w:rsidP="00671E51">
            <w:pPr>
              <w:jc w:val="both"/>
              <w:rPr>
                <w:sz w:val="20"/>
                <w:szCs w:val="20"/>
              </w:rPr>
            </w:pPr>
            <w:r>
              <w:rPr>
                <w:sz w:val="20"/>
                <w:szCs w:val="20"/>
              </w:rPr>
              <w:t>Līdz ar to, kā arī lai veicinātu atbildīgu pašvaldību finanšu pārvaldību</w:t>
            </w:r>
            <w:r w:rsidR="00E93DAF">
              <w:rPr>
                <w:sz w:val="20"/>
                <w:szCs w:val="20"/>
              </w:rPr>
              <w:t xml:space="preserve"> un neieviestu papildu maksājumus aizņēmējiem,</w:t>
            </w:r>
            <w:r>
              <w:rPr>
                <w:sz w:val="20"/>
                <w:szCs w:val="20"/>
              </w:rPr>
              <w:t xml:space="preserve"> noteikumu projektā ir ierobežotas aizņēmēju tiesības lūgt pārskatīt piemērojamās procentu likmes apmēru.</w:t>
            </w:r>
          </w:p>
          <w:p w14:paraId="72915351" w14:textId="77777777" w:rsidR="00671E51" w:rsidRPr="005C5C06" w:rsidRDefault="00671E51" w:rsidP="00671E51">
            <w:pPr>
              <w:jc w:val="both"/>
              <w:rPr>
                <w:sz w:val="20"/>
                <w:szCs w:val="20"/>
              </w:rPr>
            </w:pPr>
            <w:r>
              <w:rPr>
                <w:sz w:val="20"/>
                <w:szCs w:val="20"/>
              </w:rPr>
              <w:t>Attiecīgi ir saglabāta aizņēmēja tiesības vienreiz valsts aizdevuma līguma darbības laikā lūgt pārskatīt piemērojamās procentu likmes apmēru, kā arī vienreiz valsts aizdevuma līguma darbības laikā mainīt procentu likmes veidu no mainīgās uz fiksēto vai otrādi.</w:t>
            </w:r>
          </w:p>
        </w:tc>
        <w:tc>
          <w:tcPr>
            <w:tcW w:w="2693" w:type="dxa"/>
            <w:tcBorders>
              <w:top w:val="single" w:sz="4" w:space="0" w:color="auto"/>
              <w:left w:val="single" w:sz="4" w:space="0" w:color="auto"/>
              <w:bottom w:val="single" w:sz="4" w:space="0" w:color="auto"/>
            </w:tcBorders>
          </w:tcPr>
          <w:p w14:paraId="4C364396" w14:textId="77777777" w:rsidR="00E12E99" w:rsidRPr="00E12E99" w:rsidRDefault="00E12E99" w:rsidP="00E12E99">
            <w:pPr>
              <w:ind w:left="-57" w:right="-101"/>
              <w:jc w:val="both"/>
              <w:rPr>
                <w:sz w:val="20"/>
                <w:szCs w:val="20"/>
              </w:rPr>
            </w:pPr>
            <w:r w:rsidRPr="00E12E99">
              <w:rPr>
                <w:sz w:val="20"/>
                <w:szCs w:val="20"/>
              </w:rPr>
              <w:t>66. Pēc aizņēmēja rakstiska pieteikuma saņemšanas Valsts kase pārskata valsts aizdevuma procentu likmi izsniegtajam valsts aizdevumam vienu reizi līguma darbības laikā saskaņā ar šādiem nosacījumiem:</w:t>
            </w:r>
          </w:p>
          <w:p w14:paraId="58CBA064" w14:textId="77777777" w:rsidR="00E12E99" w:rsidRPr="00E12E99" w:rsidRDefault="00E12E99" w:rsidP="00E12E99">
            <w:pPr>
              <w:ind w:left="-57" w:right="-101"/>
              <w:jc w:val="both"/>
              <w:rPr>
                <w:sz w:val="20"/>
                <w:szCs w:val="20"/>
              </w:rPr>
            </w:pPr>
            <w:r w:rsidRPr="00E12E99">
              <w:rPr>
                <w:sz w:val="20"/>
                <w:szCs w:val="20"/>
              </w:rPr>
              <w:t>66.1. sākot ar otro izsniegtā valsts aizdevuma līguma darbības gadu, ja starpība starp iepriekš noteikto aizdevuma procentu likmi un to likmi, ko piemēro no valsts budžeta izsniedzamajiem aizdevumiem atbilstošajā valūtā, ir lielāka par vienu procentu un atlikušais termiņš līdz aizdevuma atmaksas beigu termiņam pārsniedz divus gadus;</w:t>
            </w:r>
          </w:p>
          <w:p w14:paraId="16D5006F" w14:textId="77777777" w:rsidR="00871238" w:rsidRPr="00871238" w:rsidRDefault="00E12E99" w:rsidP="00E12E99">
            <w:pPr>
              <w:ind w:left="-57" w:right="-101"/>
              <w:jc w:val="both"/>
              <w:rPr>
                <w:sz w:val="20"/>
                <w:szCs w:val="20"/>
              </w:rPr>
            </w:pPr>
            <w:r w:rsidRPr="00E12E99">
              <w:rPr>
                <w:sz w:val="20"/>
                <w:szCs w:val="20"/>
              </w:rPr>
              <w:t>66.2. valsts aizdevuma procentu likmes fiksēšanas periodu drīkst mainīt, ievērojot šo noteikumu 62., 63. un 64. punktā minētos nosacījumus, nepiemērojot šo noteikumu 66.1. apakšpunkta nosacījumus.</w:t>
            </w:r>
          </w:p>
        </w:tc>
      </w:tr>
    </w:tbl>
    <w:p w14:paraId="6C8052A2" w14:textId="42E1E543" w:rsidR="003F6A45" w:rsidRDefault="003F6A45"/>
    <w:p w14:paraId="6F2505F7" w14:textId="77777777" w:rsidR="003F6A45" w:rsidRDefault="003F6A45">
      <w:r>
        <w:br w:type="page"/>
      </w:r>
    </w:p>
    <w:p w14:paraId="2E45B29C" w14:textId="77777777" w:rsidR="003F6A45" w:rsidRDefault="003F6A45"/>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4111"/>
        <w:gridCol w:w="2693"/>
      </w:tblGrid>
      <w:tr w:rsidR="003B7F60" w:rsidRPr="00712B66" w14:paraId="0E02E885" w14:textId="77777777">
        <w:tc>
          <w:tcPr>
            <w:tcW w:w="708" w:type="dxa"/>
            <w:tcBorders>
              <w:left w:val="single" w:sz="6" w:space="0" w:color="000000"/>
              <w:bottom w:val="single" w:sz="4" w:space="0" w:color="auto"/>
              <w:right w:val="single" w:sz="6" w:space="0" w:color="000000"/>
            </w:tcBorders>
          </w:tcPr>
          <w:p w14:paraId="44E26288" w14:textId="77777777" w:rsidR="003B7F60" w:rsidRDefault="003B7F60" w:rsidP="003B7F60">
            <w:pPr>
              <w:pStyle w:val="naisc"/>
              <w:spacing w:before="0" w:after="0"/>
              <w:rPr>
                <w:sz w:val="20"/>
                <w:szCs w:val="20"/>
              </w:rPr>
            </w:pPr>
          </w:p>
        </w:tc>
        <w:tc>
          <w:tcPr>
            <w:tcW w:w="3086" w:type="dxa"/>
            <w:tcBorders>
              <w:left w:val="single" w:sz="6" w:space="0" w:color="000000"/>
              <w:bottom w:val="single" w:sz="4" w:space="0" w:color="auto"/>
              <w:right w:val="single" w:sz="6" w:space="0" w:color="000000"/>
            </w:tcBorders>
          </w:tcPr>
          <w:p w14:paraId="3BEAD073" w14:textId="77777777" w:rsidR="003B7F60" w:rsidRPr="00871238" w:rsidRDefault="003B7F60" w:rsidP="00A1134F">
            <w:pPr>
              <w:pStyle w:val="naisc"/>
              <w:ind w:left="-57" w:right="-101"/>
              <w:rPr>
                <w:sz w:val="20"/>
                <w:szCs w:val="20"/>
              </w:rPr>
            </w:pPr>
          </w:p>
        </w:tc>
        <w:tc>
          <w:tcPr>
            <w:tcW w:w="4394" w:type="dxa"/>
            <w:tcBorders>
              <w:left w:val="single" w:sz="6" w:space="0" w:color="000000"/>
              <w:bottom w:val="single" w:sz="4" w:space="0" w:color="auto"/>
              <w:right w:val="single" w:sz="6" w:space="0" w:color="000000"/>
            </w:tcBorders>
          </w:tcPr>
          <w:p w14:paraId="3A4BABD6" w14:textId="56B2B540" w:rsidR="003B7F60" w:rsidRPr="00871238" w:rsidRDefault="003B7F60" w:rsidP="00A1134F">
            <w:pPr>
              <w:pStyle w:val="naisc"/>
              <w:ind w:left="-57" w:right="-101"/>
              <w:rPr>
                <w:sz w:val="20"/>
                <w:szCs w:val="20"/>
              </w:rPr>
            </w:pPr>
            <w:r w:rsidRPr="00871238">
              <w:rPr>
                <w:b/>
                <w:sz w:val="20"/>
                <w:szCs w:val="20"/>
              </w:rPr>
              <w:t>Latvijas Lielo pilsētu asociācija</w:t>
            </w:r>
            <w:r>
              <w:rPr>
                <w:b/>
                <w:sz w:val="20"/>
                <w:szCs w:val="20"/>
              </w:rPr>
              <w:t xml:space="preserve"> (18.06.2019)</w:t>
            </w:r>
          </w:p>
        </w:tc>
        <w:tc>
          <w:tcPr>
            <w:tcW w:w="4111" w:type="dxa"/>
            <w:tcBorders>
              <w:left w:val="single" w:sz="6" w:space="0" w:color="000000"/>
              <w:bottom w:val="single" w:sz="4" w:space="0" w:color="auto"/>
              <w:right w:val="single" w:sz="6" w:space="0" w:color="000000"/>
            </w:tcBorders>
          </w:tcPr>
          <w:p w14:paraId="040C0557" w14:textId="77777777" w:rsidR="003B7F60" w:rsidRDefault="003B7F60">
            <w:pPr>
              <w:jc w:val="center"/>
              <w:rPr>
                <w:b/>
                <w:sz w:val="20"/>
                <w:szCs w:val="20"/>
              </w:rPr>
            </w:pPr>
          </w:p>
        </w:tc>
        <w:tc>
          <w:tcPr>
            <w:tcW w:w="2693" w:type="dxa"/>
            <w:tcBorders>
              <w:top w:val="single" w:sz="4" w:space="0" w:color="auto"/>
              <w:left w:val="single" w:sz="4" w:space="0" w:color="auto"/>
              <w:bottom w:val="single" w:sz="4" w:space="0" w:color="auto"/>
            </w:tcBorders>
          </w:tcPr>
          <w:p w14:paraId="5C3590DA" w14:textId="77777777" w:rsidR="003B7F60" w:rsidRPr="00E12E99" w:rsidRDefault="003B7F60" w:rsidP="00A1134F">
            <w:pPr>
              <w:ind w:left="-57" w:right="-101"/>
              <w:jc w:val="center"/>
              <w:rPr>
                <w:sz w:val="20"/>
                <w:szCs w:val="20"/>
              </w:rPr>
            </w:pPr>
          </w:p>
        </w:tc>
      </w:tr>
      <w:tr w:rsidR="00E27E51" w:rsidRPr="00712B66" w14:paraId="36B16C0F" w14:textId="77777777">
        <w:tc>
          <w:tcPr>
            <w:tcW w:w="708" w:type="dxa"/>
            <w:tcBorders>
              <w:left w:val="single" w:sz="6" w:space="0" w:color="000000"/>
              <w:bottom w:val="single" w:sz="4" w:space="0" w:color="auto"/>
              <w:right w:val="single" w:sz="6" w:space="0" w:color="000000"/>
            </w:tcBorders>
          </w:tcPr>
          <w:p w14:paraId="3C3C45D8" w14:textId="77777777" w:rsidR="00E27E51" w:rsidRDefault="00E27E51" w:rsidP="00E27E51">
            <w:pPr>
              <w:pStyle w:val="naisc"/>
              <w:spacing w:before="0" w:after="0"/>
              <w:rPr>
                <w:sz w:val="20"/>
                <w:szCs w:val="20"/>
              </w:rPr>
            </w:pPr>
          </w:p>
        </w:tc>
        <w:tc>
          <w:tcPr>
            <w:tcW w:w="3086" w:type="dxa"/>
            <w:tcBorders>
              <w:left w:val="single" w:sz="6" w:space="0" w:color="000000"/>
              <w:bottom w:val="single" w:sz="4" w:space="0" w:color="auto"/>
              <w:right w:val="single" w:sz="6" w:space="0" w:color="000000"/>
            </w:tcBorders>
          </w:tcPr>
          <w:p w14:paraId="4C8CEA2A" w14:textId="77777777" w:rsidR="00E27E51" w:rsidRPr="00871238" w:rsidRDefault="00E27E51" w:rsidP="00E27E51">
            <w:pPr>
              <w:pStyle w:val="naisc"/>
              <w:ind w:left="-57" w:right="-101"/>
              <w:jc w:val="both"/>
              <w:rPr>
                <w:sz w:val="20"/>
                <w:szCs w:val="20"/>
              </w:rPr>
            </w:pPr>
            <w:r w:rsidRPr="00871238">
              <w:rPr>
                <w:sz w:val="20"/>
                <w:szCs w:val="20"/>
              </w:rPr>
              <w:t>66. Pēc aizņēmēja rakstiska pieteikuma saņemšanas Valsts kase pārskata valsts aizdevuma procentu likmi izsniegtajam valsts aizdevumam vienu reizi līguma darbības laikā saskaņā ar šādiem nosacījumiem:</w:t>
            </w:r>
          </w:p>
          <w:p w14:paraId="5500242C" w14:textId="77777777" w:rsidR="00E27E51" w:rsidRPr="00871238" w:rsidRDefault="00E27E51" w:rsidP="00E27E51">
            <w:pPr>
              <w:pStyle w:val="naisc"/>
              <w:ind w:left="-57" w:right="-101"/>
              <w:jc w:val="both"/>
              <w:rPr>
                <w:sz w:val="20"/>
                <w:szCs w:val="20"/>
              </w:rPr>
            </w:pPr>
            <w:r w:rsidRPr="00871238">
              <w:rPr>
                <w:sz w:val="20"/>
                <w:szCs w:val="20"/>
              </w:rPr>
              <w:t>66.1. sākot ar otro izsniegtā valsts aizdevuma līguma darbības gadu, ja starpība starp iepriekš noteikto aizdevuma procentu likmi un to likmi, ko piemēro no valsts budžeta izsniedzamajiem aizdevumiem atbilstošajā valūtā, ir lielāka par vienu procentu un atlikušais termiņš līdz aizdevuma atmaksas beigu termiņam pārsniedz divus gadus;</w:t>
            </w:r>
          </w:p>
          <w:p w14:paraId="0178A0CD" w14:textId="77777777" w:rsidR="00E27E51" w:rsidRPr="00871238" w:rsidRDefault="00E27E51" w:rsidP="00E27E51">
            <w:pPr>
              <w:pStyle w:val="naisc"/>
              <w:ind w:left="-57" w:right="-101"/>
              <w:jc w:val="both"/>
              <w:rPr>
                <w:sz w:val="20"/>
                <w:szCs w:val="20"/>
              </w:rPr>
            </w:pPr>
            <w:r w:rsidRPr="00871238">
              <w:rPr>
                <w:sz w:val="20"/>
                <w:szCs w:val="20"/>
              </w:rPr>
              <w:t>66.2. valsts aizdevuma procentu likmes fiksēšanas periodu drīkst mainīt, ievērojot šo noteikumu 62., 63. un 64. punktā minētos nosacījumus, nepiemērojot šo noteikumu 66.1. apakšpunkta nosacījumus.</w:t>
            </w:r>
          </w:p>
          <w:p w14:paraId="6F504FD3" w14:textId="77777777" w:rsidR="00E27E51" w:rsidRPr="00871238" w:rsidRDefault="00E27E51" w:rsidP="00E27E51">
            <w:pPr>
              <w:pStyle w:val="naisc"/>
              <w:ind w:left="-57" w:right="-101"/>
              <w:jc w:val="both"/>
              <w:rPr>
                <w:sz w:val="20"/>
                <w:szCs w:val="20"/>
              </w:rPr>
            </w:pPr>
          </w:p>
        </w:tc>
        <w:tc>
          <w:tcPr>
            <w:tcW w:w="4394" w:type="dxa"/>
            <w:tcBorders>
              <w:left w:val="single" w:sz="6" w:space="0" w:color="000000"/>
              <w:bottom w:val="single" w:sz="4" w:space="0" w:color="auto"/>
              <w:right w:val="single" w:sz="6" w:space="0" w:color="000000"/>
            </w:tcBorders>
          </w:tcPr>
          <w:p w14:paraId="7713421E" w14:textId="301ACDB5" w:rsidR="00E27E51" w:rsidRPr="003B7F60" w:rsidRDefault="00E27E51" w:rsidP="00E27E51">
            <w:pPr>
              <w:pStyle w:val="naisc"/>
              <w:ind w:left="-57" w:right="-101"/>
              <w:jc w:val="both"/>
              <w:rPr>
                <w:sz w:val="20"/>
                <w:szCs w:val="20"/>
              </w:rPr>
            </w:pPr>
            <w:r w:rsidRPr="00A1134F">
              <w:rPr>
                <w:sz w:val="20"/>
                <w:szCs w:val="20"/>
              </w:rPr>
              <w:t xml:space="preserve">Lūdzam atkārtoti izvērtēt paredzēto kārtību, ka Valsts kase pārskata valsts aizdevuma procentu likmi izsniegtajam valsts aizdevumam vienu reizi līguma darbības laikā. Šobrīd situācija aizņēmējiem (pašvaldībām) ir labvēlīga, bet ņemot vērā iepriekšējo gadu pieredzi, kad procentu likmes svārstījās un pieņemot varbūtību, ka tās varētu kāpt, tad aizņēmēji (pašvaldības) iespējams izvēlēsies mainīt procentu likmes veidu no mainīgās uz fiksēto. Taču situācijā, kad procentu likmes atkal kritīsies, nebūs iespējas mainīt veidu no fiksētās uz mainīgo. Ilgtermiņa aizņēmumiem 30 gadi tomēr ir ilgs periods un ir dažādi faktori, kas šajā periodā var ietekmēt procentu likmju svārstības. Līdz ar to lūdzam ņemt vērā un </w:t>
            </w:r>
            <w:r w:rsidRPr="00A1134F">
              <w:rPr>
                <w:b/>
                <w:sz w:val="20"/>
                <w:szCs w:val="20"/>
              </w:rPr>
              <w:t xml:space="preserve">paredzēt iespēju aizņēmējiem pārskatīt piemērojamās procentu likmes apmēru un mainīt procentu likmes veidu vismaz vienu reizi 5 gados līguma darbības laikā, </w:t>
            </w:r>
            <w:r w:rsidRPr="00A1134F">
              <w:rPr>
                <w:sz w:val="20"/>
                <w:szCs w:val="20"/>
              </w:rPr>
              <w:t>ja nesaglabā iepriekšējos noteikumos paredzēto iespēju mainīt vienu reizi kalendārā gada laikā.</w:t>
            </w:r>
          </w:p>
        </w:tc>
        <w:tc>
          <w:tcPr>
            <w:tcW w:w="4111" w:type="dxa"/>
            <w:tcBorders>
              <w:left w:val="single" w:sz="6" w:space="0" w:color="000000"/>
              <w:bottom w:val="single" w:sz="4" w:space="0" w:color="auto"/>
              <w:right w:val="single" w:sz="6" w:space="0" w:color="000000"/>
            </w:tcBorders>
          </w:tcPr>
          <w:p w14:paraId="38DC6B77" w14:textId="214D24DC" w:rsidR="00E27E51" w:rsidRDefault="00E27E51" w:rsidP="00E27E51">
            <w:pPr>
              <w:jc w:val="center"/>
              <w:rPr>
                <w:b/>
                <w:sz w:val="20"/>
                <w:szCs w:val="20"/>
              </w:rPr>
            </w:pPr>
            <w:r>
              <w:rPr>
                <w:b/>
                <w:sz w:val="20"/>
                <w:szCs w:val="20"/>
              </w:rPr>
              <w:t>Ņemts vērā.</w:t>
            </w:r>
          </w:p>
        </w:tc>
        <w:tc>
          <w:tcPr>
            <w:tcW w:w="2693" w:type="dxa"/>
            <w:tcBorders>
              <w:top w:val="single" w:sz="4" w:space="0" w:color="auto"/>
              <w:left w:val="single" w:sz="4" w:space="0" w:color="auto"/>
              <w:bottom w:val="single" w:sz="4" w:space="0" w:color="auto"/>
            </w:tcBorders>
          </w:tcPr>
          <w:p w14:paraId="77F49A3C" w14:textId="22457A65" w:rsidR="00E27E51" w:rsidRPr="00E12E99" w:rsidRDefault="00E27E51" w:rsidP="00E27E51">
            <w:pPr>
              <w:ind w:left="-57" w:right="-101"/>
              <w:jc w:val="both"/>
              <w:rPr>
                <w:sz w:val="20"/>
                <w:szCs w:val="20"/>
              </w:rPr>
            </w:pPr>
            <w:r w:rsidRPr="00E12E99">
              <w:rPr>
                <w:sz w:val="20"/>
                <w:szCs w:val="20"/>
              </w:rPr>
              <w:t xml:space="preserve">66. Pēc aizņēmēja rakstiska pieteikuma saņemšanas Valsts kase pārskata valsts aizdevuma procentu likmi izsniegtajam valsts aizdevumam vienu reizi </w:t>
            </w:r>
            <w:r w:rsidRPr="00A1134F">
              <w:rPr>
                <w:b/>
                <w:sz w:val="20"/>
                <w:szCs w:val="20"/>
              </w:rPr>
              <w:t>piecos gados</w:t>
            </w:r>
            <w:r>
              <w:rPr>
                <w:sz w:val="20"/>
                <w:szCs w:val="20"/>
              </w:rPr>
              <w:t xml:space="preserve"> </w:t>
            </w:r>
            <w:r w:rsidRPr="00E12E99">
              <w:rPr>
                <w:sz w:val="20"/>
                <w:szCs w:val="20"/>
              </w:rPr>
              <w:t>līguma darbības laikā saskaņā ar šādiem nosacījumiem:</w:t>
            </w:r>
          </w:p>
          <w:p w14:paraId="7DCDD638" w14:textId="77777777" w:rsidR="00E27E51" w:rsidRPr="00E12E99" w:rsidRDefault="00E27E51" w:rsidP="00E27E51">
            <w:pPr>
              <w:ind w:left="-57" w:right="-101"/>
              <w:jc w:val="both"/>
              <w:rPr>
                <w:sz w:val="20"/>
                <w:szCs w:val="20"/>
              </w:rPr>
            </w:pPr>
            <w:r w:rsidRPr="00E12E99">
              <w:rPr>
                <w:sz w:val="20"/>
                <w:szCs w:val="20"/>
              </w:rPr>
              <w:t>66.1. sākot ar otro izsniegtā valsts aizdevuma līguma darbības gadu, ja starpība starp iepriekš noteikto aizdevuma procentu likmi un to likmi, ko piemēro no valsts budžeta izsniedzamajiem aizdevumiem atbilstošajā valūtā, ir lielāka par vienu procentu un atlikušais termiņš līdz aizdevuma atmaksas beigu termiņam pārsniedz divus gadus;</w:t>
            </w:r>
          </w:p>
          <w:p w14:paraId="7B1383BA" w14:textId="5CA02E3C" w:rsidR="00E27E51" w:rsidRPr="00E12E99" w:rsidRDefault="00E27E51" w:rsidP="00E27E51">
            <w:pPr>
              <w:ind w:left="-57" w:right="-101"/>
              <w:jc w:val="both"/>
              <w:rPr>
                <w:sz w:val="20"/>
                <w:szCs w:val="20"/>
              </w:rPr>
            </w:pPr>
            <w:r w:rsidRPr="00E12E99">
              <w:rPr>
                <w:sz w:val="20"/>
                <w:szCs w:val="20"/>
              </w:rPr>
              <w:t>66.2. valsts aizdevuma procentu likmes fiksēšanas periodu drīkst mainīt, ievērojot šo noteikumu 62., 63. un 64. punktā minētos nosacījumus, nepiemērojot šo noteikumu 66.1. apakšpunkta nosacījumus.</w:t>
            </w:r>
          </w:p>
        </w:tc>
      </w:tr>
      <w:tr w:rsidR="00E27E51" w:rsidRPr="00712B66" w14:paraId="622FD65B" w14:textId="77777777" w:rsidTr="003850D2">
        <w:tc>
          <w:tcPr>
            <w:tcW w:w="14992" w:type="dxa"/>
            <w:gridSpan w:val="5"/>
            <w:tcBorders>
              <w:left w:val="single" w:sz="6" w:space="0" w:color="000000"/>
              <w:bottom w:val="single" w:sz="4" w:space="0" w:color="auto"/>
            </w:tcBorders>
          </w:tcPr>
          <w:p w14:paraId="018B3EA9" w14:textId="77777777" w:rsidR="00E27E51" w:rsidRDefault="00E27E51" w:rsidP="00E27E51">
            <w:pPr>
              <w:ind w:left="-57" w:right="-101"/>
              <w:jc w:val="center"/>
              <w:rPr>
                <w:b/>
                <w:sz w:val="20"/>
                <w:szCs w:val="20"/>
              </w:rPr>
            </w:pPr>
          </w:p>
          <w:p w14:paraId="55EF8E38" w14:textId="4E9DEDE0" w:rsidR="00E27E51" w:rsidRPr="00B77503" w:rsidRDefault="00E27E51" w:rsidP="00E27E51">
            <w:pPr>
              <w:ind w:left="-57" w:right="-101"/>
              <w:jc w:val="center"/>
              <w:rPr>
                <w:b/>
                <w:sz w:val="20"/>
                <w:szCs w:val="20"/>
              </w:rPr>
            </w:pPr>
            <w:r>
              <w:rPr>
                <w:b/>
                <w:sz w:val="20"/>
                <w:szCs w:val="20"/>
              </w:rPr>
              <w:t>Tieslietu ministrija (16.05.2019.)</w:t>
            </w:r>
          </w:p>
        </w:tc>
      </w:tr>
      <w:tr w:rsidR="00E27E51" w:rsidRPr="00712B66" w14:paraId="2DF03E4C" w14:textId="77777777">
        <w:tc>
          <w:tcPr>
            <w:tcW w:w="708" w:type="dxa"/>
            <w:tcBorders>
              <w:left w:val="single" w:sz="6" w:space="0" w:color="000000"/>
              <w:bottom w:val="single" w:sz="4" w:space="0" w:color="auto"/>
              <w:right w:val="single" w:sz="6" w:space="0" w:color="000000"/>
            </w:tcBorders>
          </w:tcPr>
          <w:p w14:paraId="603F4875" w14:textId="77777777" w:rsidR="00E27E51" w:rsidRDefault="00E27E51" w:rsidP="00E27E51">
            <w:pPr>
              <w:pStyle w:val="naisc"/>
              <w:spacing w:before="0" w:after="0"/>
              <w:rPr>
                <w:sz w:val="20"/>
                <w:szCs w:val="20"/>
              </w:rPr>
            </w:pPr>
            <w:r>
              <w:rPr>
                <w:sz w:val="20"/>
                <w:szCs w:val="20"/>
              </w:rPr>
              <w:t>4.</w:t>
            </w:r>
          </w:p>
        </w:tc>
        <w:tc>
          <w:tcPr>
            <w:tcW w:w="3086" w:type="dxa"/>
            <w:tcBorders>
              <w:left w:val="single" w:sz="6" w:space="0" w:color="000000"/>
              <w:bottom w:val="single" w:sz="4" w:space="0" w:color="auto"/>
              <w:right w:val="single" w:sz="6" w:space="0" w:color="000000"/>
            </w:tcBorders>
          </w:tcPr>
          <w:p w14:paraId="76CBA3D1" w14:textId="77777777" w:rsidR="00E27E51" w:rsidRPr="00871238" w:rsidRDefault="00E27E51" w:rsidP="00E27E51">
            <w:pPr>
              <w:pStyle w:val="naisc"/>
              <w:spacing w:before="0" w:after="0"/>
              <w:ind w:left="-57" w:right="-101"/>
              <w:jc w:val="both"/>
              <w:rPr>
                <w:sz w:val="20"/>
                <w:szCs w:val="20"/>
              </w:rPr>
            </w:pPr>
          </w:p>
        </w:tc>
        <w:tc>
          <w:tcPr>
            <w:tcW w:w="4394" w:type="dxa"/>
            <w:tcBorders>
              <w:left w:val="single" w:sz="6" w:space="0" w:color="000000"/>
              <w:bottom w:val="single" w:sz="4" w:space="0" w:color="auto"/>
              <w:right w:val="single" w:sz="6" w:space="0" w:color="000000"/>
            </w:tcBorders>
          </w:tcPr>
          <w:p w14:paraId="7D5877AB" w14:textId="77777777" w:rsidR="00E27E51" w:rsidRPr="00871238" w:rsidRDefault="00E27E51" w:rsidP="00E27E51">
            <w:pPr>
              <w:pStyle w:val="naisc"/>
              <w:spacing w:before="0" w:after="0"/>
              <w:ind w:left="-57" w:right="-101"/>
              <w:jc w:val="both"/>
              <w:rPr>
                <w:sz w:val="20"/>
                <w:szCs w:val="20"/>
              </w:rPr>
            </w:pPr>
            <w:r w:rsidRPr="00B77503">
              <w:rPr>
                <w:sz w:val="20"/>
                <w:szCs w:val="20"/>
              </w:rPr>
              <w:t xml:space="preserve">Ministru kabineta 2009. gada 3. februāra noteikumu Nr. 108 "Normatīvo aktu projektu sagatavošanas noteikumi" (turpmāk – projektu sagatavošanas noteikumi) 2.3. apakšpunktā noteikts, ka normatīvā akta projekta tekstu raksta normatīvajiem aktiem atbilstošā vienotā stilistikā, izmantojot vienveidīgas un standartizētas vārdiskās izteiksmes. Projekta tekstā </w:t>
            </w:r>
            <w:r w:rsidRPr="00B77503">
              <w:rPr>
                <w:sz w:val="20"/>
                <w:szCs w:val="20"/>
              </w:rPr>
              <w:lastRenderedPageBreak/>
              <w:t>lietoti vārdi "nozares ministrija" un "ministrija", "investīciju projekti", "komercdarbības atbalsta projekti" un "projekti", "aizdevumu piešķiršana" un "aizdevumu izsniegšana". Lūdzam projekta tekstā lietot vienveidīgas vārdiskās izteiksmes, ja ir runa par vienu un to pašu apzīmējumu, savukārt gadījumos, kad atšķirīgu vārdisko izteiksmju lietojums ir nepieciešams, lai apzīmētu dažādas lietas, attiecīgu skaidrojumu iekļaut projekta sākotnējās ietekmes novērtējuma ziņojumā (turpmāk – anotācija). Šobrīd no projekta nav skaidrs, vai attiecīgie apzīmējumi apzīmē vienu un to pašu vai arī apzīmē dažādas lietas.</w:t>
            </w:r>
          </w:p>
        </w:tc>
        <w:tc>
          <w:tcPr>
            <w:tcW w:w="4111" w:type="dxa"/>
            <w:tcBorders>
              <w:left w:val="single" w:sz="6" w:space="0" w:color="000000"/>
              <w:bottom w:val="single" w:sz="4" w:space="0" w:color="auto"/>
              <w:right w:val="single" w:sz="6" w:space="0" w:color="000000"/>
            </w:tcBorders>
          </w:tcPr>
          <w:p w14:paraId="45F3C6F1" w14:textId="77777777" w:rsidR="00E27E51" w:rsidRDefault="00E27E51" w:rsidP="00E27E51">
            <w:pPr>
              <w:pStyle w:val="naisc"/>
              <w:spacing w:before="0" w:after="0"/>
              <w:ind w:left="-57" w:right="-101"/>
              <w:jc w:val="both"/>
              <w:rPr>
                <w:sz w:val="20"/>
                <w:szCs w:val="20"/>
              </w:rPr>
            </w:pPr>
          </w:p>
          <w:p w14:paraId="3423F414" w14:textId="240CD1F7" w:rsidR="00E27E51" w:rsidRPr="00BE6351" w:rsidRDefault="00E27E51" w:rsidP="00E27E51">
            <w:pPr>
              <w:pStyle w:val="naisc"/>
              <w:spacing w:before="0" w:after="0"/>
              <w:ind w:left="-57" w:right="-101"/>
              <w:rPr>
                <w:b/>
                <w:sz w:val="20"/>
                <w:szCs w:val="20"/>
              </w:rPr>
            </w:pPr>
            <w:r w:rsidRPr="00BE6351">
              <w:rPr>
                <w:b/>
                <w:sz w:val="20"/>
                <w:szCs w:val="20"/>
              </w:rPr>
              <w:t>Ņemts vērā.</w:t>
            </w:r>
          </w:p>
          <w:p w14:paraId="625765A6" w14:textId="77777777" w:rsidR="00E27E51" w:rsidRPr="00871238" w:rsidRDefault="00E27E51" w:rsidP="00E27E51">
            <w:pPr>
              <w:pStyle w:val="naisc"/>
              <w:spacing w:before="0" w:after="0"/>
              <w:ind w:left="-57" w:right="-101"/>
              <w:jc w:val="both"/>
              <w:rPr>
                <w:sz w:val="20"/>
                <w:szCs w:val="20"/>
              </w:rPr>
            </w:pPr>
            <w:r>
              <w:rPr>
                <w:sz w:val="20"/>
                <w:szCs w:val="20"/>
              </w:rPr>
              <w:t>Precizēta Ministru kabineta noteikumu redakcija.</w:t>
            </w:r>
          </w:p>
        </w:tc>
        <w:tc>
          <w:tcPr>
            <w:tcW w:w="2693" w:type="dxa"/>
            <w:tcBorders>
              <w:top w:val="single" w:sz="4" w:space="0" w:color="auto"/>
              <w:left w:val="single" w:sz="4" w:space="0" w:color="auto"/>
              <w:bottom w:val="single" w:sz="4" w:space="0" w:color="auto"/>
            </w:tcBorders>
          </w:tcPr>
          <w:p w14:paraId="4DE38EF5" w14:textId="6442C418" w:rsidR="00E27E51" w:rsidRPr="00871238" w:rsidRDefault="00352A49" w:rsidP="00E27E51">
            <w:pPr>
              <w:ind w:left="-57" w:right="-101"/>
              <w:jc w:val="both"/>
              <w:rPr>
                <w:sz w:val="20"/>
                <w:szCs w:val="20"/>
              </w:rPr>
            </w:pPr>
            <w:r w:rsidRPr="00352A49">
              <w:rPr>
                <w:sz w:val="20"/>
                <w:szCs w:val="20"/>
              </w:rPr>
              <w:t>Lūdzu skatīt precizēto noteikumu projektu</w:t>
            </w:r>
          </w:p>
        </w:tc>
      </w:tr>
      <w:tr w:rsidR="00E27E51" w:rsidRPr="00712B66" w14:paraId="25296E47" w14:textId="77777777">
        <w:tc>
          <w:tcPr>
            <w:tcW w:w="708" w:type="dxa"/>
            <w:tcBorders>
              <w:left w:val="single" w:sz="6" w:space="0" w:color="000000"/>
              <w:bottom w:val="single" w:sz="4" w:space="0" w:color="auto"/>
              <w:right w:val="single" w:sz="6" w:space="0" w:color="000000"/>
            </w:tcBorders>
          </w:tcPr>
          <w:p w14:paraId="7492B5A9" w14:textId="77777777" w:rsidR="00E27E51" w:rsidRDefault="00E27E51" w:rsidP="00E27E51">
            <w:pPr>
              <w:pStyle w:val="naisc"/>
              <w:spacing w:before="0" w:after="0"/>
              <w:rPr>
                <w:sz w:val="20"/>
                <w:szCs w:val="20"/>
              </w:rPr>
            </w:pPr>
            <w:r>
              <w:rPr>
                <w:sz w:val="20"/>
                <w:szCs w:val="20"/>
              </w:rPr>
              <w:t>5.</w:t>
            </w:r>
          </w:p>
        </w:tc>
        <w:tc>
          <w:tcPr>
            <w:tcW w:w="3086" w:type="dxa"/>
            <w:tcBorders>
              <w:left w:val="single" w:sz="6" w:space="0" w:color="000000"/>
              <w:bottom w:val="single" w:sz="4" w:space="0" w:color="auto"/>
              <w:right w:val="single" w:sz="6" w:space="0" w:color="000000"/>
            </w:tcBorders>
          </w:tcPr>
          <w:p w14:paraId="58F9C42F" w14:textId="77777777" w:rsidR="00E27E51" w:rsidRDefault="00E27E51" w:rsidP="00E27E51">
            <w:pPr>
              <w:pStyle w:val="naisc"/>
              <w:ind w:left="-57" w:right="-101"/>
              <w:jc w:val="both"/>
              <w:rPr>
                <w:sz w:val="20"/>
                <w:szCs w:val="20"/>
              </w:rPr>
            </w:pPr>
            <w:r>
              <w:rPr>
                <w:sz w:val="20"/>
                <w:szCs w:val="20"/>
              </w:rPr>
              <w:t xml:space="preserve">2.3. </w:t>
            </w:r>
            <w:r w:rsidRPr="00BE6351">
              <w:rPr>
                <w:sz w:val="20"/>
                <w:szCs w:val="20"/>
              </w:rPr>
              <w:t>Aktīvu kopums – visi īpašumā esošie pamatlīdzekļi (nekustamie īpašumi, kustamā manta) un apgrozāmie līdzekļi (debitoru prasības, izejvielas, krājumi), kurus ir tiesības ieķīlāt;</w:t>
            </w:r>
          </w:p>
          <w:p w14:paraId="01D2205B" w14:textId="38EAEFED" w:rsidR="00E27E51" w:rsidRPr="00BE6351" w:rsidRDefault="00E27E51" w:rsidP="00E27E51">
            <w:pPr>
              <w:pStyle w:val="naisc"/>
              <w:ind w:left="-57" w:right="-101"/>
              <w:jc w:val="both"/>
              <w:rPr>
                <w:sz w:val="20"/>
                <w:szCs w:val="20"/>
              </w:rPr>
            </w:pPr>
            <w:r>
              <w:rPr>
                <w:sz w:val="20"/>
                <w:szCs w:val="20"/>
              </w:rPr>
              <w:t xml:space="preserve">2.5. </w:t>
            </w:r>
            <w:r w:rsidRPr="00BE6351">
              <w:rPr>
                <w:sz w:val="20"/>
                <w:szCs w:val="20"/>
              </w:rPr>
              <w:t>Nodrošinājums – valsts aizdevuma nodrošināšanai paredzētā ķīla: komercķīla, hipotēka, finanšu ķīla vai galvojums;</w:t>
            </w:r>
          </w:p>
          <w:p w14:paraId="309D8AB9" w14:textId="448DDA04" w:rsidR="00E27E51" w:rsidRPr="007C25F2" w:rsidRDefault="00E27E51" w:rsidP="00E27E51">
            <w:pPr>
              <w:pStyle w:val="naisc"/>
              <w:ind w:left="-57" w:right="-101"/>
              <w:jc w:val="both"/>
              <w:rPr>
                <w:sz w:val="20"/>
                <w:szCs w:val="20"/>
              </w:rPr>
            </w:pPr>
            <w:r>
              <w:rPr>
                <w:sz w:val="20"/>
                <w:szCs w:val="20"/>
              </w:rPr>
              <w:t xml:space="preserve">2.10. </w:t>
            </w:r>
            <w:r w:rsidRPr="007C25F2">
              <w:rPr>
                <w:sz w:val="20"/>
                <w:szCs w:val="20"/>
              </w:rPr>
              <w:t>Augsts nodrošinājums – valsts aizdevuma nodrošināšanai paredzētā ķīla, kuras sertificēta vērtētāja noteiktā piespiedu pārdošanas vērtība pamatlīdzekļiem (nekustamiem īpašumiem, kustamai mantai) vai apgrozāmiem līdzekļiem (debitoru prasībām, izejvielām, krājumiem) vai Valsts kases noteiktā piespiedu pārdošanas vērtība apgrozāmiem līdzekļiem (debitoru prasībām, izejvielām, krājumiem) vai citas ķīlas vērtība ir vienāda vai pārsniedz plānotā valsts aizdevuma apmēru;</w:t>
            </w:r>
          </w:p>
          <w:p w14:paraId="5923BF0A" w14:textId="41E11FC3" w:rsidR="00E27E51" w:rsidRPr="00BE6351" w:rsidRDefault="00E27E51" w:rsidP="00E27E51">
            <w:pPr>
              <w:pStyle w:val="naisc"/>
              <w:ind w:left="-57" w:right="-101"/>
              <w:jc w:val="both"/>
              <w:rPr>
                <w:sz w:val="20"/>
                <w:szCs w:val="20"/>
              </w:rPr>
            </w:pPr>
            <w:r w:rsidRPr="00BE6351">
              <w:rPr>
                <w:b/>
                <w:sz w:val="20"/>
                <w:szCs w:val="20"/>
              </w:rPr>
              <w:lastRenderedPageBreak/>
              <w:t>2</w:t>
            </w:r>
            <w:r w:rsidRPr="00BE6351">
              <w:rPr>
                <w:sz w:val="20"/>
                <w:szCs w:val="20"/>
              </w:rPr>
              <w:t>.6. Padome – Pašvaldību aizņēmumu un galvojumu kontroles un pārraudzības padome</w:t>
            </w:r>
          </w:p>
          <w:p w14:paraId="748C5C92" w14:textId="5A09E866" w:rsidR="00E27E51" w:rsidRPr="007C25F2" w:rsidRDefault="00E27E51" w:rsidP="00E27E51">
            <w:pPr>
              <w:pStyle w:val="naisc"/>
              <w:ind w:left="-57" w:right="-101"/>
              <w:jc w:val="both"/>
              <w:rPr>
                <w:sz w:val="20"/>
                <w:szCs w:val="20"/>
              </w:rPr>
            </w:pPr>
            <w:r>
              <w:rPr>
                <w:sz w:val="20"/>
                <w:szCs w:val="20"/>
              </w:rPr>
              <w:t xml:space="preserve">2.9. </w:t>
            </w:r>
            <w:r w:rsidRPr="00BE6351">
              <w:rPr>
                <w:sz w:val="20"/>
                <w:szCs w:val="20"/>
              </w:rPr>
              <w:t>Valsts kases tīmekļvietne – http://www.kase.gov.lv/;</w:t>
            </w:r>
          </w:p>
          <w:p w14:paraId="070155AB" w14:textId="77777777" w:rsidR="00E27E51" w:rsidRPr="00BE6351" w:rsidRDefault="00E27E51" w:rsidP="00E27E51">
            <w:pPr>
              <w:pStyle w:val="naisc"/>
              <w:ind w:left="-57" w:right="-101"/>
              <w:jc w:val="both"/>
              <w:rPr>
                <w:sz w:val="20"/>
                <w:szCs w:val="20"/>
              </w:rPr>
            </w:pPr>
          </w:p>
          <w:p w14:paraId="3B4FFC3F" w14:textId="77777777" w:rsidR="00E27E51" w:rsidRPr="00871238" w:rsidRDefault="00E27E51" w:rsidP="00E27E51">
            <w:pPr>
              <w:pStyle w:val="naisc"/>
              <w:ind w:left="-57" w:right="-101"/>
              <w:jc w:val="both"/>
              <w:rPr>
                <w:sz w:val="20"/>
                <w:szCs w:val="20"/>
              </w:rPr>
            </w:pPr>
          </w:p>
        </w:tc>
        <w:tc>
          <w:tcPr>
            <w:tcW w:w="4394" w:type="dxa"/>
            <w:tcBorders>
              <w:left w:val="single" w:sz="6" w:space="0" w:color="000000"/>
              <w:bottom w:val="single" w:sz="4" w:space="0" w:color="auto"/>
              <w:right w:val="single" w:sz="6" w:space="0" w:color="000000"/>
            </w:tcBorders>
          </w:tcPr>
          <w:p w14:paraId="068CCD70" w14:textId="77777777" w:rsidR="00E27E51" w:rsidRPr="00B77503" w:rsidRDefault="00E27E51" w:rsidP="00E27E51">
            <w:pPr>
              <w:pStyle w:val="naisc"/>
              <w:ind w:left="-57" w:right="-101"/>
              <w:jc w:val="both"/>
              <w:rPr>
                <w:sz w:val="20"/>
                <w:szCs w:val="20"/>
              </w:rPr>
            </w:pPr>
            <w:r w:rsidRPr="00B77503">
              <w:rPr>
                <w:sz w:val="20"/>
                <w:szCs w:val="20"/>
              </w:rPr>
              <w:lastRenderedPageBreak/>
              <w:t>Projektu sagatavošanas noteikumu 3.2. apakšpunkts noteic, ka normatīvā akta projektā neietver normas, kas dublē augstāka vai tāda paša spēka normatīvā akta tiesību normās ietverto regulējumu, kā arī 121. punkts noteic, ka noteikumu projektā terminus skaidro, lai konkretizētu terminā izteiktā jēdziena izpratnes robežas, ja termins nav skaidrots vai lietots augstāka juridiskā spēka normatīvajā aktā. Projekta 2.3., 2.5. un 2.10. apakšpunkti dublē likuma "Par budžetu un finanšu vadību" (turpmāk – budžeta likums) I nodaļas terminus "aktīvu kopums", "nodrošinājums" un "augsts nodrošinājums". Ņemot vērā minēto, lūdzam svītrot projekta 2.3., 2.5. un 2.10. apakšpunktus.</w:t>
            </w:r>
          </w:p>
          <w:p w14:paraId="62B1FF47" w14:textId="77777777" w:rsidR="00E27E51" w:rsidRPr="00871238" w:rsidRDefault="00E27E51" w:rsidP="00E27E51">
            <w:pPr>
              <w:pStyle w:val="naisc"/>
              <w:spacing w:before="0" w:after="0"/>
              <w:ind w:left="-57" w:right="-101"/>
              <w:jc w:val="both"/>
              <w:rPr>
                <w:sz w:val="20"/>
                <w:szCs w:val="20"/>
              </w:rPr>
            </w:pPr>
            <w:r w:rsidRPr="00B77503">
              <w:rPr>
                <w:sz w:val="20"/>
                <w:szCs w:val="20"/>
              </w:rPr>
              <w:tab/>
              <w:t>Vienlaikus lūdzam svītrot projekta 2.6. apakšpunktu, jo tas pēc būtības neskaidro terminu, bet paredz vārdkopas saīsinājumu, kā arī lūdzam svītrot projekta 2.9. apakšpunktu, jo tas neskaidro terminu.</w:t>
            </w:r>
          </w:p>
        </w:tc>
        <w:tc>
          <w:tcPr>
            <w:tcW w:w="4111" w:type="dxa"/>
            <w:tcBorders>
              <w:left w:val="single" w:sz="6" w:space="0" w:color="000000"/>
              <w:bottom w:val="single" w:sz="4" w:space="0" w:color="auto"/>
              <w:right w:val="single" w:sz="6" w:space="0" w:color="000000"/>
            </w:tcBorders>
          </w:tcPr>
          <w:p w14:paraId="619B2C78" w14:textId="77777777" w:rsidR="00E27E51" w:rsidRDefault="00E27E51" w:rsidP="00E27E51">
            <w:pPr>
              <w:pStyle w:val="naisc"/>
              <w:spacing w:before="0" w:after="0"/>
              <w:ind w:left="-57" w:right="-101"/>
              <w:jc w:val="both"/>
              <w:rPr>
                <w:sz w:val="20"/>
                <w:szCs w:val="20"/>
              </w:rPr>
            </w:pPr>
          </w:p>
          <w:p w14:paraId="1905E418" w14:textId="6771E06C" w:rsidR="00E27E51" w:rsidRPr="00BE6351" w:rsidRDefault="00E27E51" w:rsidP="00E27E51">
            <w:pPr>
              <w:pStyle w:val="naisc"/>
              <w:spacing w:before="0" w:after="0"/>
              <w:ind w:left="-57" w:right="-101"/>
              <w:rPr>
                <w:b/>
                <w:sz w:val="20"/>
                <w:szCs w:val="20"/>
              </w:rPr>
            </w:pPr>
            <w:r w:rsidRPr="00BE6351">
              <w:rPr>
                <w:b/>
                <w:sz w:val="20"/>
                <w:szCs w:val="20"/>
              </w:rPr>
              <w:t>Ņemts vērā.</w:t>
            </w:r>
          </w:p>
          <w:p w14:paraId="7652EECC" w14:textId="08055953" w:rsidR="00E27E51" w:rsidRPr="00871238" w:rsidRDefault="00E27E51" w:rsidP="00E27E51">
            <w:pPr>
              <w:pStyle w:val="naisc"/>
              <w:spacing w:before="0" w:after="0"/>
              <w:ind w:left="-57" w:right="-101"/>
              <w:jc w:val="both"/>
              <w:rPr>
                <w:sz w:val="20"/>
                <w:szCs w:val="20"/>
              </w:rPr>
            </w:pPr>
            <w:r>
              <w:rPr>
                <w:sz w:val="20"/>
                <w:szCs w:val="20"/>
              </w:rPr>
              <w:t xml:space="preserve">Noteikumu projektā  svītroti </w:t>
            </w:r>
            <w:r w:rsidRPr="00B77503">
              <w:rPr>
                <w:sz w:val="20"/>
                <w:szCs w:val="20"/>
              </w:rPr>
              <w:t>2.3., 2.5.</w:t>
            </w:r>
            <w:r>
              <w:rPr>
                <w:sz w:val="20"/>
                <w:szCs w:val="20"/>
              </w:rPr>
              <w:t>,2.6.,2.9.</w:t>
            </w:r>
            <w:r w:rsidRPr="00B77503">
              <w:rPr>
                <w:sz w:val="20"/>
                <w:szCs w:val="20"/>
              </w:rPr>
              <w:t xml:space="preserve"> un 2.1</w:t>
            </w:r>
            <w:r>
              <w:rPr>
                <w:sz w:val="20"/>
                <w:szCs w:val="20"/>
              </w:rPr>
              <w:t>0. apakšpunkti.</w:t>
            </w:r>
          </w:p>
        </w:tc>
        <w:tc>
          <w:tcPr>
            <w:tcW w:w="2693" w:type="dxa"/>
            <w:tcBorders>
              <w:top w:val="single" w:sz="4" w:space="0" w:color="auto"/>
              <w:left w:val="single" w:sz="4" w:space="0" w:color="auto"/>
              <w:bottom w:val="single" w:sz="4" w:space="0" w:color="auto"/>
            </w:tcBorders>
          </w:tcPr>
          <w:p w14:paraId="66A00D41" w14:textId="76F2141A" w:rsidR="00E27E51" w:rsidRPr="00871238" w:rsidRDefault="00352A49" w:rsidP="00E27E51">
            <w:pPr>
              <w:ind w:left="-57" w:right="-101"/>
              <w:jc w:val="both"/>
              <w:rPr>
                <w:sz w:val="20"/>
                <w:szCs w:val="20"/>
              </w:rPr>
            </w:pPr>
            <w:r w:rsidRPr="00352A49">
              <w:rPr>
                <w:sz w:val="20"/>
                <w:szCs w:val="20"/>
              </w:rPr>
              <w:t>Lūdzu skatīt precizēto noteikumu projektu</w:t>
            </w:r>
          </w:p>
        </w:tc>
      </w:tr>
      <w:tr w:rsidR="00E27E51" w:rsidRPr="00712B66" w14:paraId="0DA98111" w14:textId="77777777">
        <w:tc>
          <w:tcPr>
            <w:tcW w:w="708" w:type="dxa"/>
            <w:tcBorders>
              <w:left w:val="single" w:sz="6" w:space="0" w:color="000000"/>
              <w:bottom w:val="single" w:sz="4" w:space="0" w:color="auto"/>
              <w:right w:val="single" w:sz="6" w:space="0" w:color="000000"/>
            </w:tcBorders>
          </w:tcPr>
          <w:p w14:paraId="41785057" w14:textId="77777777" w:rsidR="00E27E51" w:rsidRDefault="00E27E51" w:rsidP="00E27E51">
            <w:pPr>
              <w:pStyle w:val="naisc"/>
              <w:spacing w:before="0" w:after="0"/>
              <w:rPr>
                <w:sz w:val="20"/>
                <w:szCs w:val="20"/>
              </w:rPr>
            </w:pPr>
            <w:r>
              <w:rPr>
                <w:sz w:val="20"/>
                <w:szCs w:val="20"/>
              </w:rPr>
              <w:t>6.</w:t>
            </w:r>
          </w:p>
        </w:tc>
        <w:tc>
          <w:tcPr>
            <w:tcW w:w="3086" w:type="dxa"/>
            <w:tcBorders>
              <w:left w:val="single" w:sz="6" w:space="0" w:color="000000"/>
              <w:bottom w:val="single" w:sz="4" w:space="0" w:color="auto"/>
              <w:right w:val="single" w:sz="6" w:space="0" w:color="000000"/>
            </w:tcBorders>
          </w:tcPr>
          <w:p w14:paraId="3FAEFC70" w14:textId="77777777" w:rsidR="00E27E51" w:rsidRPr="00871238" w:rsidRDefault="00E27E51" w:rsidP="00E27E51">
            <w:pPr>
              <w:pStyle w:val="naisc"/>
              <w:ind w:left="-57" w:right="-101"/>
              <w:jc w:val="both"/>
              <w:rPr>
                <w:sz w:val="20"/>
                <w:szCs w:val="20"/>
              </w:rPr>
            </w:pPr>
          </w:p>
        </w:tc>
        <w:tc>
          <w:tcPr>
            <w:tcW w:w="4394" w:type="dxa"/>
            <w:tcBorders>
              <w:left w:val="single" w:sz="6" w:space="0" w:color="000000"/>
              <w:bottom w:val="single" w:sz="4" w:space="0" w:color="auto"/>
              <w:right w:val="single" w:sz="6" w:space="0" w:color="000000"/>
            </w:tcBorders>
          </w:tcPr>
          <w:p w14:paraId="6221D5CE" w14:textId="77777777" w:rsidR="00E27E51" w:rsidRDefault="00E27E51" w:rsidP="00E27E51">
            <w:pPr>
              <w:pStyle w:val="naisc"/>
              <w:ind w:left="-57" w:right="-101"/>
              <w:jc w:val="both"/>
              <w:rPr>
                <w:sz w:val="20"/>
                <w:szCs w:val="20"/>
              </w:rPr>
            </w:pPr>
            <w:r w:rsidRPr="00B77503">
              <w:rPr>
                <w:sz w:val="20"/>
                <w:szCs w:val="20"/>
              </w:rPr>
              <w:t xml:space="preserve">Projekta 2.1. apakšpunktā ir skaidrots, kas ir pretendents, savukārt projekta 2.2. apakšpunktā ir skaidrots, kas ir aizņēmējs. No projekta 2.1. un 2.2. apakšpunkta ir secināms, ka pretendenti nesakrīt ar aizņēmējiem, lai gan pretendenti ir tie, kas pretendē uz valsts aizdevumu, savukārt aizņēmēji ir tie, kas saņem valsts aizdevumu, līdz ar to tiem būtu jāsakrīt. </w:t>
            </w:r>
          </w:p>
          <w:p w14:paraId="37171E91" w14:textId="74EA789B" w:rsidR="00E27E51" w:rsidRPr="00871238" w:rsidRDefault="00E27E51" w:rsidP="00E27E51">
            <w:pPr>
              <w:pStyle w:val="naisc"/>
              <w:ind w:left="-57" w:right="-101"/>
              <w:jc w:val="both"/>
              <w:rPr>
                <w:sz w:val="20"/>
                <w:szCs w:val="20"/>
              </w:rPr>
            </w:pPr>
            <w:r w:rsidRPr="00B77503">
              <w:rPr>
                <w:sz w:val="20"/>
                <w:szCs w:val="20"/>
              </w:rPr>
              <w:t>Ņemot vērā minēto, lūdzam skaidrot, kāpēc prete</w:t>
            </w:r>
            <w:r>
              <w:rPr>
                <w:sz w:val="20"/>
                <w:szCs w:val="20"/>
              </w:rPr>
              <w:t>ndenti nesakrīt ar aizņēmējiem.</w:t>
            </w:r>
          </w:p>
        </w:tc>
        <w:tc>
          <w:tcPr>
            <w:tcW w:w="4111" w:type="dxa"/>
            <w:tcBorders>
              <w:left w:val="single" w:sz="6" w:space="0" w:color="000000"/>
              <w:bottom w:val="single" w:sz="4" w:space="0" w:color="auto"/>
              <w:right w:val="single" w:sz="6" w:space="0" w:color="000000"/>
            </w:tcBorders>
          </w:tcPr>
          <w:p w14:paraId="538338E6" w14:textId="2CD558FB" w:rsidR="00E27E51" w:rsidRPr="00BE6351" w:rsidRDefault="00E27E51" w:rsidP="00E27E51">
            <w:pPr>
              <w:pStyle w:val="naisc"/>
              <w:spacing w:before="0" w:after="0"/>
              <w:ind w:left="-57" w:right="-101"/>
              <w:rPr>
                <w:b/>
                <w:sz w:val="20"/>
                <w:szCs w:val="20"/>
              </w:rPr>
            </w:pPr>
            <w:r w:rsidRPr="00BE6351">
              <w:rPr>
                <w:b/>
                <w:sz w:val="20"/>
                <w:szCs w:val="20"/>
              </w:rPr>
              <w:t>Ņemts vērā.</w:t>
            </w:r>
          </w:p>
          <w:p w14:paraId="0CFC7E44" w14:textId="6E30719B" w:rsidR="00E27E51" w:rsidRDefault="00E27E51" w:rsidP="00E27E51">
            <w:pPr>
              <w:pStyle w:val="naisc"/>
              <w:spacing w:before="0" w:after="0"/>
              <w:ind w:left="-57" w:right="-101"/>
              <w:jc w:val="both"/>
              <w:rPr>
                <w:sz w:val="20"/>
                <w:szCs w:val="20"/>
              </w:rPr>
            </w:pPr>
            <w:r>
              <w:rPr>
                <w:sz w:val="20"/>
                <w:szCs w:val="20"/>
              </w:rPr>
              <w:t>Gadskārtējā budžeta plānošanas procesa ietvaros informācija par potenciālo valsts aizdevumu ņēmēju iespējamajiem aizņemšanās apjomiem tiek saņemta izmantojot dažādus informācijas kanālus. Līdz ar to šajos noteikumu ir nepieciešams skaidri nodalīt dažādās potenciālo aizņēmēju grupas.</w:t>
            </w:r>
          </w:p>
          <w:p w14:paraId="4D84A528" w14:textId="77777777" w:rsidR="00E27E51" w:rsidRDefault="00E27E51" w:rsidP="00E27E51">
            <w:pPr>
              <w:pStyle w:val="naisc"/>
              <w:spacing w:before="0" w:after="0"/>
              <w:ind w:left="-57" w:right="-101"/>
              <w:jc w:val="both"/>
              <w:rPr>
                <w:sz w:val="20"/>
                <w:szCs w:val="20"/>
              </w:rPr>
            </w:pPr>
            <w:r>
              <w:rPr>
                <w:sz w:val="20"/>
                <w:szCs w:val="20"/>
              </w:rPr>
              <w:t xml:space="preserve">Tāpēc, lai optimizētu noteikumu tekstu un labākas uztveramības nodrošināšanai, tika izveidots atsevišķs termins “Pretendents”, kas ir daļa no termina “Aizņēmējs”. </w:t>
            </w:r>
          </w:p>
          <w:p w14:paraId="74C0E10B" w14:textId="77777777" w:rsidR="00E27E51" w:rsidRPr="00871238" w:rsidRDefault="00E27E51" w:rsidP="00E27E51">
            <w:pPr>
              <w:pStyle w:val="naisc"/>
              <w:spacing w:before="0" w:after="0"/>
              <w:ind w:left="-57" w:right="-101"/>
              <w:jc w:val="both"/>
              <w:rPr>
                <w:sz w:val="20"/>
                <w:szCs w:val="20"/>
              </w:rPr>
            </w:pPr>
          </w:p>
        </w:tc>
        <w:tc>
          <w:tcPr>
            <w:tcW w:w="2693" w:type="dxa"/>
            <w:tcBorders>
              <w:top w:val="single" w:sz="4" w:space="0" w:color="auto"/>
              <w:left w:val="single" w:sz="4" w:space="0" w:color="auto"/>
              <w:bottom w:val="single" w:sz="4" w:space="0" w:color="auto"/>
            </w:tcBorders>
          </w:tcPr>
          <w:p w14:paraId="26866A52" w14:textId="4D359C10" w:rsidR="00E27E51" w:rsidRPr="00871238" w:rsidRDefault="00352A49" w:rsidP="00E27E51">
            <w:pPr>
              <w:ind w:left="-57" w:right="-101"/>
              <w:jc w:val="both"/>
              <w:rPr>
                <w:sz w:val="20"/>
                <w:szCs w:val="20"/>
              </w:rPr>
            </w:pPr>
            <w:r w:rsidRPr="00352A49">
              <w:rPr>
                <w:sz w:val="20"/>
                <w:szCs w:val="20"/>
              </w:rPr>
              <w:t>Lūdzu skatīt precizēto noteikumu projektu</w:t>
            </w:r>
          </w:p>
        </w:tc>
      </w:tr>
      <w:tr w:rsidR="00E27E51" w:rsidRPr="00712B66" w14:paraId="110DB999" w14:textId="77777777">
        <w:tc>
          <w:tcPr>
            <w:tcW w:w="708" w:type="dxa"/>
            <w:tcBorders>
              <w:left w:val="single" w:sz="6" w:space="0" w:color="000000"/>
              <w:bottom w:val="single" w:sz="4" w:space="0" w:color="auto"/>
              <w:right w:val="single" w:sz="6" w:space="0" w:color="000000"/>
            </w:tcBorders>
          </w:tcPr>
          <w:p w14:paraId="3AC92246" w14:textId="77777777" w:rsidR="00E27E51" w:rsidRDefault="00E27E51" w:rsidP="00E27E51">
            <w:pPr>
              <w:pStyle w:val="naisc"/>
              <w:spacing w:before="0" w:after="0"/>
              <w:rPr>
                <w:sz w:val="20"/>
                <w:szCs w:val="20"/>
              </w:rPr>
            </w:pPr>
            <w:r>
              <w:rPr>
                <w:sz w:val="20"/>
                <w:szCs w:val="20"/>
              </w:rPr>
              <w:t>7.</w:t>
            </w:r>
          </w:p>
        </w:tc>
        <w:tc>
          <w:tcPr>
            <w:tcW w:w="3086" w:type="dxa"/>
            <w:tcBorders>
              <w:left w:val="single" w:sz="6" w:space="0" w:color="000000"/>
              <w:bottom w:val="single" w:sz="4" w:space="0" w:color="auto"/>
              <w:right w:val="single" w:sz="6" w:space="0" w:color="000000"/>
            </w:tcBorders>
          </w:tcPr>
          <w:p w14:paraId="51349AA4" w14:textId="77777777" w:rsidR="00E27E51" w:rsidRPr="00871238" w:rsidRDefault="00E27E51" w:rsidP="00E27E51">
            <w:pPr>
              <w:pStyle w:val="naisc"/>
              <w:spacing w:before="0" w:after="0"/>
              <w:ind w:left="-57" w:right="-101"/>
              <w:jc w:val="both"/>
              <w:rPr>
                <w:sz w:val="20"/>
                <w:szCs w:val="20"/>
              </w:rPr>
            </w:pPr>
          </w:p>
        </w:tc>
        <w:tc>
          <w:tcPr>
            <w:tcW w:w="4394" w:type="dxa"/>
            <w:tcBorders>
              <w:left w:val="single" w:sz="6" w:space="0" w:color="000000"/>
              <w:bottom w:val="single" w:sz="4" w:space="0" w:color="auto"/>
              <w:right w:val="single" w:sz="6" w:space="0" w:color="000000"/>
            </w:tcBorders>
          </w:tcPr>
          <w:p w14:paraId="6A1D5CCB" w14:textId="77777777" w:rsidR="00E27E51" w:rsidRPr="00871238" w:rsidRDefault="00E27E51" w:rsidP="00E27E51">
            <w:pPr>
              <w:pStyle w:val="naisc"/>
              <w:spacing w:before="0" w:after="0"/>
              <w:ind w:left="-57" w:right="-101"/>
              <w:jc w:val="both"/>
              <w:rPr>
                <w:sz w:val="20"/>
                <w:szCs w:val="20"/>
              </w:rPr>
            </w:pPr>
            <w:r w:rsidRPr="00B77503">
              <w:rPr>
                <w:sz w:val="20"/>
                <w:szCs w:val="20"/>
              </w:rPr>
              <w:t>Budžeta likuma 36. panta piektā daļa paredz, ka valsts aizdevumus var izsniegt valsts speciālā budžeta izpildītājiem. Projekta 2.2. apakšpunktā noteikts, ka aizņēmējs ir valsts sociālās apdrošināšanas speciālais budžets. Lūdzam precizēt projekta 2.2. apakšpunktu un nepieciešamības gadījumā arī projekta tekstu atbilstoši budžeta likuma 36. p</w:t>
            </w:r>
            <w:r>
              <w:rPr>
                <w:sz w:val="20"/>
                <w:szCs w:val="20"/>
              </w:rPr>
              <w:t>anta piektajā daļā noteiktajam.</w:t>
            </w:r>
          </w:p>
        </w:tc>
        <w:tc>
          <w:tcPr>
            <w:tcW w:w="4111" w:type="dxa"/>
            <w:tcBorders>
              <w:left w:val="single" w:sz="6" w:space="0" w:color="000000"/>
              <w:bottom w:val="single" w:sz="4" w:space="0" w:color="auto"/>
              <w:right w:val="single" w:sz="6" w:space="0" w:color="000000"/>
            </w:tcBorders>
          </w:tcPr>
          <w:p w14:paraId="5DAC8C96" w14:textId="1DF206F6" w:rsidR="00E27E51" w:rsidRPr="00BE6351" w:rsidRDefault="00E27E51" w:rsidP="00E27E51">
            <w:pPr>
              <w:pStyle w:val="naisc"/>
              <w:spacing w:before="0" w:after="0"/>
              <w:ind w:left="-57" w:right="-101"/>
              <w:rPr>
                <w:b/>
                <w:sz w:val="20"/>
                <w:szCs w:val="20"/>
              </w:rPr>
            </w:pPr>
            <w:r w:rsidRPr="00BE6351">
              <w:rPr>
                <w:b/>
                <w:sz w:val="20"/>
                <w:szCs w:val="20"/>
              </w:rPr>
              <w:t>Ņemts vērā.</w:t>
            </w:r>
          </w:p>
          <w:p w14:paraId="037DC213" w14:textId="4139B39E" w:rsidR="00E27E51" w:rsidRPr="00871238" w:rsidRDefault="00E27E51" w:rsidP="00E27E51">
            <w:pPr>
              <w:pStyle w:val="naisc"/>
              <w:spacing w:before="0" w:after="0"/>
              <w:ind w:left="-57" w:right="-101"/>
              <w:jc w:val="both"/>
              <w:rPr>
                <w:sz w:val="20"/>
                <w:szCs w:val="20"/>
              </w:rPr>
            </w:pPr>
            <w:r>
              <w:rPr>
                <w:sz w:val="20"/>
                <w:szCs w:val="20"/>
              </w:rPr>
              <w:t>Noteikumu projekta teksts precizēts aizstājot terminu “</w:t>
            </w:r>
            <w:r w:rsidRPr="00B77503">
              <w:rPr>
                <w:sz w:val="20"/>
                <w:szCs w:val="20"/>
              </w:rPr>
              <w:t>valsts sociālās apdrošināšanas speciālais budžets</w:t>
            </w:r>
            <w:r>
              <w:rPr>
                <w:sz w:val="20"/>
                <w:szCs w:val="20"/>
              </w:rPr>
              <w:t>” ar “valsts speciālā budžeta izpildītājs”</w:t>
            </w:r>
          </w:p>
        </w:tc>
        <w:tc>
          <w:tcPr>
            <w:tcW w:w="2693" w:type="dxa"/>
            <w:tcBorders>
              <w:top w:val="single" w:sz="4" w:space="0" w:color="auto"/>
              <w:left w:val="single" w:sz="4" w:space="0" w:color="auto"/>
              <w:bottom w:val="single" w:sz="4" w:space="0" w:color="auto"/>
            </w:tcBorders>
          </w:tcPr>
          <w:p w14:paraId="0A8AFCB7" w14:textId="6308BAF1" w:rsidR="00E27E51" w:rsidRPr="00871238" w:rsidRDefault="00352A49" w:rsidP="00E27E51">
            <w:pPr>
              <w:ind w:left="-57" w:right="-101"/>
              <w:jc w:val="both"/>
              <w:rPr>
                <w:sz w:val="20"/>
                <w:szCs w:val="20"/>
              </w:rPr>
            </w:pPr>
            <w:r w:rsidRPr="00352A49">
              <w:rPr>
                <w:sz w:val="20"/>
                <w:szCs w:val="20"/>
              </w:rPr>
              <w:t>Lūdzu skatīt precizēto noteikumu projektu</w:t>
            </w:r>
          </w:p>
        </w:tc>
      </w:tr>
      <w:tr w:rsidR="00E27E51" w:rsidRPr="00712B66" w14:paraId="5357DC81" w14:textId="77777777">
        <w:tc>
          <w:tcPr>
            <w:tcW w:w="708" w:type="dxa"/>
            <w:tcBorders>
              <w:left w:val="single" w:sz="6" w:space="0" w:color="000000"/>
              <w:bottom w:val="single" w:sz="4" w:space="0" w:color="auto"/>
              <w:right w:val="single" w:sz="6" w:space="0" w:color="000000"/>
            </w:tcBorders>
          </w:tcPr>
          <w:p w14:paraId="5695D023" w14:textId="77777777" w:rsidR="00E27E51" w:rsidRDefault="00E27E51" w:rsidP="00E27E51">
            <w:pPr>
              <w:pStyle w:val="naisc"/>
              <w:spacing w:before="0" w:after="0"/>
              <w:rPr>
                <w:sz w:val="20"/>
                <w:szCs w:val="20"/>
              </w:rPr>
            </w:pPr>
            <w:r>
              <w:rPr>
                <w:sz w:val="20"/>
                <w:szCs w:val="20"/>
              </w:rPr>
              <w:t>8.</w:t>
            </w:r>
          </w:p>
        </w:tc>
        <w:tc>
          <w:tcPr>
            <w:tcW w:w="3086" w:type="dxa"/>
            <w:tcBorders>
              <w:left w:val="single" w:sz="6" w:space="0" w:color="000000"/>
              <w:bottom w:val="single" w:sz="4" w:space="0" w:color="auto"/>
              <w:right w:val="single" w:sz="6" w:space="0" w:color="000000"/>
            </w:tcBorders>
          </w:tcPr>
          <w:p w14:paraId="1E890421" w14:textId="6F495BA8" w:rsidR="00E27E51" w:rsidRPr="000764E7" w:rsidRDefault="00E27E51" w:rsidP="00E27E51">
            <w:pPr>
              <w:pStyle w:val="naisc"/>
              <w:ind w:left="-57" w:right="-101"/>
              <w:jc w:val="both"/>
              <w:rPr>
                <w:sz w:val="20"/>
                <w:szCs w:val="20"/>
              </w:rPr>
            </w:pPr>
            <w:r w:rsidRPr="000764E7">
              <w:rPr>
                <w:sz w:val="20"/>
                <w:szCs w:val="20"/>
              </w:rPr>
              <w:t>48.</w:t>
            </w:r>
            <w:r w:rsidRPr="000764E7">
              <w:rPr>
                <w:sz w:val="20"/>
                <w:szCs w:val="20"/>
              </w:rPr>
              <w:tab/>
              <w:t>Finanšu ministrs lēmumu par valsts aizdevuma piešķiršanas atteikumu pieņem, ja ir konstatēs:</w:t>
            </w:r>
          </w:p>
          <w:p w14:paraId="09702934" w14:textId="77777777" w:rsidR="00E27E51" w:rsidRPr="000764E7" w:rsidRDefault="00E27E51" w:rsidP="00E27E51">
            <w:pPr>
              <w:pStyle w:val="naisc"/>
              <w:ind w:left="-57" w:right="-101"/>
              <w:jc w:val="both"/>
              <w:rPr>
                <w:sz w:val="20"/>
                <w:szCs w:val="20"/>
              </w:rPr>
            </w:pPr>
          </w:p>
          <w:p w14:paraId="2EE960BF" w14:textId="38542852" w:rsidR="00E27E51" w:rsidRPr="000764E7" w:rsidRDefault="00E27E51" w:rsidP="00E27E51">
            <w:pPr>
              <w:pStyle w:val="naisc"/>
              <w:ind w:left="-57" w:right="-101"/>
              <w:jc w:val="both"/>
              <w:rPr>
                <w:sz w:val="20"/>
                <w:szCs w:val="20"/>
              </w:rPr>
            </w:pPr>
            <w:r w:rsidRPr="000764E7">
              <w:rPr>
                <w:sz w:val="20"/>
                <w:szCs w:val="20"/>
              </w:rPr>
              <w:t>48.1.</w:t>
            </w:r>
            <w:r w:rsidRPr="000764E7">
              <w:rPr>
                <w:sz w:val="20"/>
                <w:szCs w:val="20"/>
              </w:rPr>
              <w:tab/>
              <w:t>paaugstināts valsts aizdevuma atmaksas risks,</w:t>
            </w:r>
          </w:p>
          <w:p w14:paraId="4A314359" w14:textId="79AC4C69" w:rsidR="00E27E51" w:rsidRPr="000764E7" w:rsidRDefault="00E27E51" w:rsidP="00E27E51">
            <w:pPr>
              <w:pStyle w:val="naisc"/>
              <w:ind w:left="-57" w:right="-101"/>
              <w:jc w:val="both"/>
              <w:rPr>
                <w:sz w:val="20"/>
                <w:szCs w:val="20"/>
              </w:rPr>
            </w:pPr>
            <w:r w:rsidRPr="000764E7">
              <w:rPr>
                <w:sz w:val="20"/>
                <w:szCs w:val="20"/>
              </w:rPr>
              <w:t>48.2.</w:t>
            </w:r>
            <w:r w:rsidRPr="000764E7">
              <w:rPr>
                <w:sz w:val="20"/>
                <w:szCs w:val="20"/>
              </w:rPr>
              <w:tab/>
              <w:t xml:space="preserve">vidējs valsts aizdevuma atmaksas risks, izņemot gadījumus, kad ir augsts augstas likviditātes nodrošinājums, vai, kad valsts </w:t>
            </w:r>
            <w:r w:rsidRPr="000764E7">
              <w:rPr>
                <w:sz w:val="20"/>
                <w:szCs w:val="20"/>
              </w:rPr>
              <w:lastRenderedPageBreak/>
              <w:t>aizdevumu ir plānots izmantot, lai īstenotu Eiropas Savienības fonda vai citas ārvalstu finanšu palīdzības līdzfinansētu projektu un kā nodrošinājumu sniedz aktīvu kopumu,</w:t>
            </w:r>
          </w:p>
          <w:p w14:paraId="4C5EB956" w14:textId="40F25F5E" w:rsidR="00E27E51" w:rsidRPr="007C25F2" w:rsidRDefault="00E27E51" w:rsidP="00E27E51">
            <w:pPr>
              <w:pStyle w:val="naisc"/>
              <w:spacing w:before="0" w:after="0"/>
              <w:ind w:left="-57" w:right="-101"/>
              <w:jc w:val="both"/>
              <w:rPr>
                <w:sz w:val="20"/>
                <w:szCs w:val="20"/>
              </w:rPr>
            </w:pPr>
            <w:r w:rsidRPr="000764E7">
              <w:rPr>
                <w:sz w:val="20"/>
                <w:szCs w:val="20"/>
              </w:rPr>
              <w:t>48.3.</w:t>
            </w:r>
            <w:r w:rsidRPr="000764E7">
              <w:rPr>
                <w:sz w:val="20"/>
                <w:szCs w:val="20"/>
              </w:rPr>
              <w:tab/>
              <w:t>vidēji zems valsts aizdevuma atmaksas risks, izņemot gadījumus, kad kā nodrošinājumu sniedz aktīvu kopumu.</w:t>
            </w:r>
          </w:p>
        </w:tc>
        <w:tc>
          <w:tcPr>
            <w:tcW w:w="4394" w:type="dxa"/>
            <w:tcBorders>
              <w:left w:val="single" w:sz="6" w:space="0" w:color="000000"/>
              <w:bottom w:val="single" w:sz="4" w:space="0" w:color="auto"/>
              <w:right w:val="single" w:sz="6" w:space="0" w:color="000000"/>
            </w:tcBorders>
          </w:tcPr>
          <w:p w14:paraId="68F90449" w14:textId="77777777" w:rsidR="00E27E51" w:rsidRPr="00871238" w:rsidRDefault="00E27E51" w:rsidP="00E27E51">
            <w:pPr>
              <w:pStyle w:val="naisc"/>
              <w:spacing w:before="0" w:after="0"/>
              <w:ind w:left="-57" w:right="-101"/>
              <w:jc w:val="both"/>
              <w:rPr>
                <w:sz w:val="20"/>
                <w:szCs w:val="20"/>
              </w:rPr>
            </w:pPr>
            <w:r w:rsidRPr="00B77503">
              <w:rPr>
                <w:sz w:val="20"/>
                <w:szCs w:val="20"/>
              </w:rPr>
              <w:lastRenderedPageBreak/>
              <w:t>Lūdzam svītrot projekta 48. punktu, jo tas dublē budžeta likuma 36. pant</w:t>
            </w:r>
            <w:r>
              <w:rPr>
                <w:sz w:val="20"/>
                <w:szCs w:val="20"/>
              </w:rPr>
              <w:t>a 5.4 daļas 3. punktā noteikto.</w:t>
            </w:r>
          </w:p>
        </w:tc>
        <w:tc>
          <w:tcPr>
            <w:tcW w:w="4111" w:type="dxa"/>
            <w:tcBorders>
              <w:left w:val="single" w:sz="6" w:space="0" w:color="000000"/>
              <w:bottom w:val="single" w:sz="4" w:space="0" w:color="auto"/>
              <w:right w:val="single" w:sz="6" w:space="0" w:color="000000"/>
            </w:tcBorders>
          </w:tcPr>
          <w:p w14:paraId="69509B8A" w14:textId="62D2C065" w:rsidR="00E27E51" w:rsidRDefault="00E27E51" w:rsidP="00E27E51">
            <w:pPr>
              <w:pStyle w:val="BodyText"/>
              <w:jc w:val="center"/>
              <w:rPr>
                <w:b/>
                <w:bCs/>
                <w:sz w:val="20"/>
                <w:szCs w:val="20"/>
              </w:rPr>
            </w:pPr>
            <w:r>
              <w:rPr>
                <w:b/>
                <w:bCs/>
                <w:sz w:val="20"/>
                <w:szCs w:val="20"/>
              </w:rPr>
              <w:t>Ņemts vērā.</w:t>
            </w:r>
          </w:p>
          <w:p w14:paraId="342661E0" w14:textId="766A5BCC" w:rsidR="00E27E51" w:rsidRPr="005036DB" w:rsidRDefault="00E27E51" w:rsidP="00E27E51">
            <w:pPr>
              <w:pStyle w:val="BodyText"/>
              <w:jc w:val="both"/>
              <w:rPr>
                <w:sz w:val="20"/>
                <w:szCs w:val="20"/>
              </w:rPr>
            </w:pPr>
            <w:r w:rsidRPr="005036DB">
              <w:rPr>
                <w:bCs/>
                <w:sz w:val="20"/>
                <w:szCs w:val="20"/>
              </w:rPr>
              <w:t xml:space="preserve">Likumā par budžeta un finanšu vadību, pārejas noteikumu 85.punkts paredz, ka </w:t>
            </w:r>
            <w:r w:rsidRPr="005036DB">
              <w:rPr>
                <w:rStyle w:val="FontStyle16"/>
                <w:sz w:val="20"/>
                <w:szCs w:val="20"/>
              </w:rPr>
              <w:t xml:space="preserve">“Šā likuma 36. panta </w:t>
            </w:r>
            <w:r w:rsidRPr="005036DB">
              <w:rPr>
                <w:bCs/>
                <w:sz w:val="20"/>
                <w:szCs w:val="20"/>
              </w:rPr>
              <w:t>5.</w:t>
            </w:r>
            <w:r w:rsidRPr="005036DB">
              <w:rPr>
                <w:bCs/>
                <w:sz w:val="20"/>
                <w:szCs w:val="20"/>
                <w:vertAlign w:val="superscript"/>
              </w:rPr>
              <w:t>4 </w:t>
            </w:r>
            <w:r w:rsidRPr="005036DB">
              <w:rPr>
                <w:rStyle w:val="FontStyle16"/>
                <w:sz w:val="20"/>
                <w:szCs w:val="20"/>
              </w:rPr>
              <w:t xml:space="preserve">daļas 3. punkts piemērojams ar </w:t>
            </w:r>
            <w:r w:rsidRPr="005036DB">
              <w:rPr>
                <w:rStyle w:val="FontStyle16"/>
                <w:sz w:val="20"/>
                <w:szCs w:val="20"/>
                <w:u w:val="single"/>
              </w:rPr>
              <w:t>2019. gada 1. septembri</w:t>
            </w:r>
            <w:r w:rsidRPr="005036DB">
              <w:rPr>
                <w:rStyle w:val="FontStyle16"/>
                <w:sz w:val="20"/>
                <w:szCs w:val="20"/>
              </w:rPr>
              <w:t>”.</w:t>
            </w:r>
            <w:r w:rsidRPr="005036DB">
              <w:rPr>
                <w:bCs/>
                <w:sz w:val="20"/>
                <w:szCs w:val="20"/>
              </w:rPr>
              <w:t xml:space="preserve"> Tas ir punkts, kas nosaka, ka finanšu ministrs valsts aizdevumu neizsniedz </w:t>
            </w:r>
            <w:r w:rsidRPr="005036DB">
              <w:rPr>
                <w:bCs/>
                <w:spacing w:val="-2"/>
                <w:sz w:val="20"/>
                <w:szCs w:val="20"/>
              </w:rPr>
              <w:t>kapitālsabiedrībai, kurā valsts daļa pamatkapitālā pārsniedz 50 procentus,</w:t>
            </w:r>
            <w:r w:rsidRPr="005036DB">
              <w:rPr>
                <w:bCs/>
                <w:sz w:val="20"/>
                <w:szCs w:val="20"/>
              </w:rPr>
              <w:t xml:space="preserve"> zinātniskajam institūtam un augstskolai, kam ir </w:t>
            </w:r>
            <w:r w:rsidRPr="005036DB">
              <w:rPr>
                <w:bCs/>
                <w:sz w:val="20"/>
                <w:szCs w:val="20"/>
              </w:rPr>
              <w:lastRenderedPageBreak/>
              <w:t>noteikts atvasinātas publiskas personas statuss, ostas pārvaldei ja ir:</w:t>
            </w:r>
          </w:p>
          <w:p w14:paraId="3F85A3CB" w14:textId="77777777" w:rsidR="00E27E51" w:rsidRPr="005036DB" w:rsidRDefault="00E27E51" w:rsidP="00E27E51">
            <w:pPr>
              <w:pStyle w:val="BodyText"/>
              <w:rPr>
                <w:bCs/>
                <w:sz w:val="20"/>
                <w:szCs w:val="20"/>
              </w:rPr>
            </w:pPr>
            <w:r w:rsidRPr="005036DB">
              <w:rPr>
                <w:bCs/>
                <w:sz w:val="20"/>
                <w:szCs w:val="20"/>
              </w:rPr>
              <w:t>a</w:t>
            </w:r>
            <w:r w:rsidRPr="005036DB">
              <w:rPr>
                <w:rStyle w:val="FontStyle16"/>
                <w:sz w:val="20"/>
                <w:szCs w:val="20"/>
              </w:rPr>
              <w:t>) </w:t>
            </w:r>
            <w:r w:rsidRPr="005036DB">
              <w:rPr>
                <w:bCs/>
                <w:sz w:val="20"/>
                <w:szCs w:val="20"/>
              </w:rPr>
              <w:t>paaugstināts valsts aizdevuma atmaksas risks,</w:t>
            </w:r>
          </w:p>
          <w:p w14:paraId="04E97F49" w14:textId="77777777" w:rsidR="00E27E51" w:rsidRPr="005036DB" w:rsidRDefault="00E27E51" w:rsidP="00E27E51">
            <w:pPr>
              <w:pStyle w:val="BodyText"/>
              <w:rPr>
                <w:bCs/>
                <w:spacing w:val="-2"/>
                <w:sz w:val="20"/>
                <w:szCs w:val="20"/>
              </w:rPr>
            </w:pPr>
            <w:r w:rsidRPr="005036DB">
              <w:rPr>
                <w:bCs/>
                <w:sz w:val="20"/>
                <w:szCs w:val="20"/>
              </w:rPr>
              <w:t>b</w:t>
            </w:r>
            <w:r w:rsidRPr="005036DB">
              <w:rPr>
                <w:rStyle w:val="FontStyle16"/>
                <w:sz w:val="20"/>
                <w:szCs w:val="20"/>
              </w:rPr>
              <w:t>) </w:t>
            </w:r>
            <w:r w:rsidRPr="005036DB">
              <w:rPr>
                <w:bCs/>
                <w:sz w:val="20"/>
                <w:szCs w:val="20"/>
              </w:rPr>
              <w:t xml:space="preserve">vidējs valsts aizdevuma atmaksas risks, izņemot gadījumus, kad ir augstas likviditātes nodrošinājums vai kad valsts aizdevumu ir plānots </w:t>
            </w:r>
            <w:r w:rsidRPr="005036DB">
              <w:rPr>
                <w:bCs/>
                <w:spacing w:val="-2"/>
                <w:sz w:val="20"/>
                <w:szCs w:val="20"/>
              </w:rPr>
              <w:t>izmantot, lai īstenotu Eiropas Savienības fonda vai citas ārvalstu finanšu palīdzības līdzfinansētu projektu, un kā nodrošinājums tiek sniegts aktīvu kopums,</w:t>
            </w:r>
          </w:p>
          <w:p w14:paraId="0CC4D383" w14:textId="77777777" w:rsidR="00E27E51" w:rsidRDefault="00E27E51" w:rsidP="00E27E51">
            <w:pPr>
              <w:pStyle w:val="BodyText"/>
              <w:rPr>
                <w:bCs/>
                <w:sz w:val="20"/>
                <w:szCs w:val="20"/>
              </w:rPr>
            </w:pPr>
            <w:r w:rsidRPr="005036DB">
              <w:rPr>
                <w:bCs/>
                <w:sz w:val="20"/>
                <w:szCs w:val="20"/>
              </w:rPr>
              <w:t>c</w:t>
            </w:r>
            <w:r w:rsidRPr="005036DB">
              <w:rPr>
                <w:rStyle w:val="FontStyle16"/>
                <w:sz w:val="20"/>
                <w:szCs w:val="20"/>
              </w:rPr>
              <w:t>) </w:t>
            </w:r>
            <w:r w:rsidRPr="005036DB">
              <w:rPr>
                <w:bCs/>
                <w:sz w:val="20"/>
                <w:szCs w:val="20"/>
              </w:rPr>
              <w:t xml:space="preserve">vidēji zems valsts aizdevuma atmaksas risks, izņemot gadījumus, kad kā nodrošinājums tiek sniegts aktīvu kopums. </w:t>
            </w:r>
          </w:p>
          <w:p w14:paraId="75F300B5" w14:textId="77777777" w:rsidR="00E27E51" w:rsidRPr="005036DB" w:rsidRDefault="00E27E51" w:rsidP="00E27E51">
            <w:pPr>
              <w:pStyle w:val="BodyText"/>
              <w:jc w:val="both"/>
              <w:rPr>
                <w:bCs/>
                <w:sz w:val="20"/>
                <w:szCs w:val="20"/>
              </w:rPr>
            </w:pPr>
            <w:r w:rsidRPr="005036DB">
              <w:rPr>
                <w:bCs/>
                <w:sz w:val="20"/>
                <w:szCs w:val="20"/>
              </w:rPr>
              <w:t> Pamatojoties uz iepriekš minēto, MK noteikumu projektā ir iekļauta šī norma</w:t>
            </w:r>
            <w:r>
              <w:rPr>
                <w:bCs/>
                <w:sz w:val="20"/>
                <w:szCs w:val="20"/>
              </w:rPr>
              <w:t>,</w:t>
            </w:r>
            <w:r w:rsidRPr="005036DB">
              <w:rPr>
                <w:bCs/>
                <w:sz w:val="20"/>
                <w:szCs w:val="20"/>
              </w:rPr>
              <w:t xml:space="preserve"> paredzot iepriekš minētā atteikuma normas spēkā stāšanos ar 01.09.2019.</w:t>
            </w:r>
          </w:p>
          <w:p w14:paraId="066F21D5" w14:textId="77777777" w:rsidR="00E27E51" w:rsidRPr="005036DB" w:rsidRDefault="00E27E51" w:rsidP="00E27E51">
            <w:pPr>
              <w:pStyle w:val="BodyText"/>
              <w:jc w:val="both"/>
              <w:rPr>
                <w:sz w:val="20"/>
                <w:szCs w:val="20"/>
              </w:rPr>
            </w:pPr>
            <w:r>
              <w:rPr>
                <w:bCs/>
                <w:sz w:val="20"/>
                <w:szCs w:val="20"/>
              </w:rPr>
              <w:t xml:space="preserve">MK noteikumu projekta </w:t>
            </w:r>
            <w:r w:rsidRPr="005036DB">
              <w:rPr>
                <w:bCs/>
                <w:sz w:val="20"/>
                <w:szCs w:val="20"/>
              </w:rPr>
              <w:t>87. punktā ir noteikts, ka “Šo</w:t>
            </w:r>
            <w:r w:rsidRPr="005036DB">
              <w:rPr>
                <w:sz w:val="20"/>
                <w:szCs w:val="20"/>
              </w:rPr>
              <w:t xml:space="preserve"> noteikumu 48. punkts ir piemērojams līdz 2019. gada 31. augustam. Ar 2019. gada 1. septembri ir piemērojami Likuma par budžetu un finanšu vadību 36. panta 5.</w:t>
            </w:r>
            <w:r w:rsidRPr="005036DB">
              <w:rPr>
                <w:sz w:val="20"/>
                <w:szCs w:val="20"/>
                <w:vertAlign w:val="superscript"/>
              </w:rPr>
              <w:t>4</w:t>
            </w:r>
            <w:r w:rsidRPr="005036DB">
              <w:rPr>
                <w:sz w:val="20"/>
                <w:szCs w:val="20"/>
              </w:rPr>
              <w:t> daļas 3.punkta nosacījumi.</w:t>
            </w:r>
            <w:r>
              <w:rPr>
                <w:sz w:val="20"/>
                <w:szCs w:val="20"/>
              </w:rPr>
              <w:t>”</w:t>
            </w:r>
            <w:r>
              <w:rPr>
                <w:bCs/>
                <w:sz w:val="20"/>
                <w:szCs w:val="20"/>
              </w:rPr>
              <w:t>.</w:t>
            </w:r>
            <w:r w:rsidRPr="005036DB">
              <w:rPr>
                <w:bCs/>
                <w:sz w:val="20"/>
                <w:szCs w:val="20"/>
              </w:rPr>
              <w:t xml:space="preserve"> </w:t>
            </w:r>
          </w:p>
        </w:tc>
        <w:tc>
          <w:tcPr>
            <w:tcW w:w="2693" w:type="dxa"/>
            <w:tcBorders>
              <w:top w:val="single" w:sz="4" w:space="0" w:color="auto"/>
              <w:left w:val="single" w:sz="4" w:space="0" w:color="auto"/>
              <w:bottom w:val="single" w:sz="4" w:space="0" w:color="auto"/>
            </w:tcBorders>
          </w:tcPr>
          <w:p w14:paraId="7071A871" w14:textId="5289CF2C" w:rsidR="00E27E51" w:rsidRPr="00871238" w:rsidRDefault="00352A49" w:rsidP="00E27E51">
            <w:pPr>
              <w:ind w:left="-57" w:right="-101"/>
              <w:jc w:val="both"/>
              <w:rPr>
                <w:sz w:val="20"/>
                <w:szCs w:val="20"/>
              </w:rPr>
            </w:pPr>
            <w:r w:rsidRPr="00352A49">
              <w:rPr>
                <w:sz w:val="20"/>
                <w:szCs w:val="20"/>
              </w:rPr>
              <w:lastRenderedPageBreak/>
              <w:t>Lūdzu skatīt precizēto noteikumu projektu</w:t>
            </w:r>
          </w:p>
        </w:tc>
      </w:tr>
      <w:tr w:rsidR="00E27E51" w:rsidRPr="00712B66" w14:paraId="7C892CBE" w14:textId="77777777">
        <w:tc>
          <w:tcPr>
            <w:tcW w:w="708" w:type="dxa"/>
            <w:tcBorders>
              <w:left w:val="single" w:sz="6" w:space="0" w:color="000000"/>
              <w:bottom w:val="single" w:sz="4" w:space="0" w:color="auto"/>
              <w:right w:val="single" w:sz="6" w:space="0" w:color="000000"/>
            </w:tcBorders>
          </w:tcPr>
          <w:p w14:paraId="6CB3189A" w14:textId="77777777" w:rsidR="00E27E51" w:rsidRDefault="00E27E51" w:rsidP="00E27E51">
            <w:pPr>
              <w:pStyle w:val="naisc"/>
              <w:spacing w:before="0" w:after="0"/>
              <w:rPr>
                <w:sz w:val="20"/>
                <w:szCs w:val="20"/>
              </w:rPr>
            </w:pPr>
            <w:r>
              <w:rPr>
                <w:sz w:val="20"/>
                <w:szCs w:val="20"/>
              </w:rPr>
              <w:t>9.</w:t>
            </w:r>
          </w:p>
        </w:tc>
        <w:tc>
          <w:tcPr>
            <w:tcW w:w="3086" w:type="dxa"/>
            <w:tcBorders>
              <w:left w:val="single" w:sz="6" w:space="0" w:color="000000"/>
              <w:bottom w:val="single" w:sz="4" w:space="0" w:color="auto"/>
              <w:right w:val="single" w:sz="6" w:space="0" w:color="000000"/>
            </w:tcBorders>
          </w:tcPr>
          <w:p w14:paraId="2DC3C0AF" w14:textId="77777777" w:rsidR="00E27E51" w:rsidRPr="00871238" w:rsidRDefault="00E27E51" w:rsidP="00E27E51">
            <w:pPr>
              <w:pStyle w:val="naisc"/>
              <w:spacing w:before="0" w:after="0"/>
              <w:ind w:left="-57" w:right="-101"/>
              <w:jc w:val="both"/>
              <w:rPr>
                <w:sz w:val="20"/>
                <w:szCs w:val="20"/>
              </w:rPr>
            </w:pPr>
          </w:p>
        </w:tc>
        <w:tc>
          <w:tcPr>
            <w:tcW w:w="4394" w:type="dxa"/>
            <w:tcBorders>
              <w:left w:val="single" w:sz="6" w:space="0" w:color="000000"/>
              <w:bottom w:val="single" w:sz="4" w:space="0" w:color="auto"/>
              <w:right w:val="single" w:sz="6" w:space="0" w:color="000000"/>
            </w:tcBorders>
          </w:tcPr>
          <w:p w14:paraId="49C3D36A" w14:textId="77777777" w:rsidR="00E27E51" w:rsidRPr="00871238" w:rsidRDefault="00E27E51" w:rsidP="00E27E51">
            <w:pPr>
              <w:pStyle w:val="naisc"/>
              <w:spacing w:before="0" w:after="0"/>
              <w:ind w:left="-57" w:right="-101"/>
              <w:jc w:val="both"/>
              <w:rPr>
                <w:sz w:val="20"/>
                <w:szCs w:val="20"/>
              </w:rPr>
            </w:pPr>
            <w:r w:rsidRPr="00B77503">
              <w:rPr>
                <w:sz w:val="20"/>
                <w:szCs w:val="20"/>
              </w:rPr>
              <w:t>Lūdzam skaidrot anotācijā, kas ir projektā minētā Pašvaldību aizņēmumu un galvojumu kontroles pārraudzības padome, kura nav minēta budžeta likumā, kā arī nekas sīkāk par tās izveidošanu un statusu nav noteikts projektā.</w:t>
            </w:r>
          </w:p>
        </w:tc>
        <w:tc>
          <w:tcPr>
            <w:tcW w:w="4111" w:type="dxa"/>
            <w:tcBorders>
              <w:left w:val="single" w:sz="6" w:space="0" w:color="000000"/>
              <w:bottom w:val="single" w:sz="4" w:space="0" w:color="auto"/>
              <w:right w:val="single" w:sz="6" w:space="0" w:color="000000"/>
            </w:tcBorders>
          </w:tcPr>
          <w:p w14:paraId="04148189" w14:textId="1FB1C52F" w:rsidR="00E27E51" w:rsidRPr="00BE6351" w:rsidRDefault="00E27E51" w:rsidP="00E27E51">
            <w:pPr>
              <w:pStyle w:val="naisc"/>
              <w:spacing w:before="0" w:after="0"/>
              <w:ind w:left="-57" w:right="-101"/>
              <w:rPr>
                <w:b/>
                <w:sz w:val="20"/>
                <w:szCs w:val="20"/>
              </w:rPr>
            </w:pPr>
            <w:r w:rsidRPr="00BE6351">
              <w:rPr>
                <w:b/>
                <w:sz w:val="20"/>
                <w:szCs w:val="20"/>
              </w:rPr>
              <w:t>Ņemts vērā.</w:t>
            </w:r>
          </w:p>
          <w:p w14:paraId="78925B2D" w14:textId="5A5B8545" w:rsidR="00E27E51" w:rsidRPr="00871238" w:rsidRDefault="00E27E51" w:rsidP="00E27E51">
            <w:pPr>
              <w:pStyle w:val="naisc"/>
              <w:spacing w:before="0" w:after="0"/>
              <w:ind w:left="-57" w:right="-101"/>
              <w:jc w:val="both"/>
              <w:rPr>
                <w:sz w:val="20"/>
                <w:szCs w:val="20"/>
              </w:rPr>
            </w:pPr>
            <w:r>
              <w:rPr>
                <w:sz w:val="20"/>
                <w:szCs w:val="20"/>
              </w:rPr>
              <w:t>Anotācija papildināta ar atbilstošu skaidrojumu.</w:t>
            </w:r>
          </w:p>
        </w:tc>
        <w:tc>
          <w:tcPr>
            <w:tcW w:w="2693" w:type="dxa"/>
            <w:tcBorders>
              <w:top w:val="single" w:sz="4" w:space="0" w:color="auto"/>
              <w:left w:val="single" w:sz="4" w:space="0" w:color="auto"/>
              <w:bottom w:val="single" w:sz="4" w:space="0" w:color="auto"/>
            </w:tcBorders>
          </w:tcPr>
          <w:p w14:paraId="21C0CD1A" w14:textId="77777777" w:rsidR="00E27E51" w:rsidRPr="00871238" w:rsidRDefault="00E27E51" w:rsidP="00E27E51">
            <w:pPr>
              <w:ind w:left="-57" w:right="-101"/>
              <w:jc w:val="both"/>
              <w:rPr>
                <w:sz w:val="20"/>
                <w:szCs w:val="20"/>
              </w:rPr>
            </w:pPr>
            <w:r w:rsidRPr="00496E8F">
              <w:rPr>
                <w:sz w:val="20"/>
                <w:szCs w:val="20"/>
              </w:rPr>
              <w:t xml:space="preserve">Noteikumu projektā, papildus tajā iekļautajiem terminiem, ir lietots termins “Pašvaldību aizņēmumu un galvojumu kontroles un pārraudzības padome”, kura izveidota saskaņā ar Ministru kabineta 2008.gada 25.marta noteikumiem Nr.196 „Noteikumi par pašvaldību aizņēmumiem un galvojumiem", lai pārraudzītu pašvaldību finansiālo darbību jautājumos, kas saistīti ar ņemtajiem </w:t>
            </w:r>
            <w:r w:rsidRPr="00496E8F">
              <w:rPr>
                <w:sz w:val="20"/>
                <w:szCs w:val="20"/>
              </w:rPr>
              <w:lastRenderedPageBreak/>
              <w:t>aizņēmumiem, sniegtajiem galvojumiem un plānotajiem aizņēmumiem un galvojumiem, kā arī, ja nepieciešams, sniegtu pašvaldībām ieteikumus turpmākajai finansiālajai darbībai.</w:t>
            </w:r>
          </w:p>
        </w:tc>
      </w:tr>
      <w:tr w:rsidR="00CF7A39" w:rsidRPr="00712B66" w14:paraId="6B0DDCB1" w14:textId="77777777" w:rsidTr="00E84831">
        <w:tc>
          <w:tcPr>
            <w:tcW w:w="14992" w:type="dxa"/>
            <w:gridSpan w:val="5"/>
            <w:tcBorders>
              <w:left w:val="single" w:sz="6" w:space="0" w:color="000000"/>
              <w:bottom w:val="single" w:sz="4" w:space="0" w:color="auto"/>
            </w:tcBorders>
          </w:tcPr>
          <w:p w14:paraId="2B63A8F9" w14:textId="77777777" w:rsidR="00CF7A39" w:rsidRDefault="00CF7A39" w:rsidP="00E84831">
            <w:pPr>
              <w:ind w:left="-57" w:right="-101"/>
              <w:jc w:val="center"/>
              <w:rPr>
                <w:b/>
                <w:sz w:val="20"/>
                <w:szCs w:val="20"/>
              </w:rPr>
            </w:pPr>
          </w:p>
          <w:p w14:paraId="295633CC" w14:textId="25045317" w:rsidR="00CF7A39" w:rsidRPr="00B77503" w:rsidRDefault="00CF7A39" w:rsidP="00CF7A39">
            <w:pPr>
              <w:ind w:left="-57" w:right="-101"/>
              <w:jc w:val="center"/>
              <w:rPr>
                <w:b/>
                <w:sz w:val="20"/>
                <w:szCs w:val="20"/>
              </w:rPr>
            </w:pPr>
            <w:r>
              <w:rPr>
                <w:b/>
                <w:sz w:val="20"/>
                <w:szCs w:val="20"/>
              </w:rPr>
              <w:t>Tieslietu ministrija (17.06.2019.)</w:t>
            </w:r>
          </w:p>
        </w:tc>
      </w:tr>
      <w:tr w:rsidR="00CF7A39" w:rsidRPr="00712B66" w14:paraId="223A623B" w14:textId="77777777">
        <w:tc>
          <w:tcPr>
            <w:tcW w:w="708" w:type="dxa"/>
            <w:tcBorders>
              <w:left w:val="single" w:sz="6" w:space="0" w:color="000000"/>
              <w:bottom w:val="single" w:sz="4" w:space="0" w:color="auto"/>
              <w:right w:val="single" w:sz="6" w:space="0" w:color="000000"/>
            </w:tcBorders>
          </w:tcPr>
          <w:p w14:paraId="37C8F929" w14:textId="34C7A6F6" w:rsidR="00CF7A39" w:rsidRDefault="00352A49" w:rsidP="00E27E51">
            <w:pPr>
              <w:pStyle w:val="naisc"/>
              <w:spacing w:before="0" w:after="0"/>
              <w:rPr>
                <w:sz w:val="20"/>
                <w:szCs w:val="20"/>
              </w:rPr>
            </w:pPr>
            <w:r>
              <w:rPr>
                <w:sz w:val="20"/>
                <w:szCs w:val="20"/>
              </w:rPr>
              <w:t>10.</w:t>
            </w:r>
          </w:p>
        </w:tc>
        <w:tc>
          <w:tcPr>
            <w:tcW w:w="3086" w:type="dxa"/>
            <w:tcBorders>
              <w:left w:val="single" w:sz="6" w:space="0" w:color="000000"/>
              <w:bottom w:val="single" w:sz="4" w:space="0" w:color="auto"/>
              <w:right w:val="single" w:sz="6" w:space="0" w:color="000000"/>
            </w:tcBorders>
          </w:tcPr>
          <w:p w14:paraId="340B6520" w14:textId="77777777" w:rsidR="00CF7A39" w:rsidRPr="00871238" w:rsidRDefault="00CF7A39" w:rsidP="00E27E51">
            <w:pPr>
              <w:pStyle w:val="naisc"/>
              <w:spacing w:before="0" w:after="0"/>
              <w:ind w:left="-57" w:right="-101"/>
              <w:jc w:val="both"/>
              <w:rPr>
                <w:sz w:val="20"/>
                <w:szCs w:val="20"/>
              </w:rPr>
            </w:pPr>
          </w:p>
        </w:tc>
        <w:tc>
          <w:tcPr>
            <w:tcW w:w="4394" w:type="dxa"/>
            <w:tcBorders>
              <w:left w:val="single" w:sz="6" w:space="0" w:color="000000"/>
              <w:bottom w:val="single" w:sz="4" w:space="0" w:color="auto"/>
              <w:right w:val="single" w:sz="6" w:space="0" w:color="000000"/>
            </w:tcBorders>
          </w:tcPr>
          <w:p w14:paraId="34333E30" w14:textId="1306817B" w:rsidR="00CF7A39" w:rsidRPr="00B77503" w:rsidRDefault="00CF7A39" w:rsidP="004C7404">
            <w:pPr>
              <w:pStyle w:val="naisc"/>
              <w:ind w:left="-57" w:right="-101"/>
              <w:jc w:val="both"/>
              <w:rPr>
                <w:sz w:val="20"/>
                <w:szCs w:val="20"/>
              </w:rPr>
            </w:pPr>
            <w:r w:rsidRPr="00CF7A39">
              <w:rPr>
                <w:sz w:val="20"/>
                <w:szCs w:val="20"/>
              </w:rPr>
              <w:t>Atkārtoti norādām, ka Ministru kabineta 2009. gada 3. februāra noteikumu Nr. 108 "Normatīvo aktu projektu sagatavošanas noteikumi" (turpmāk – projektu sagatavošanas noteikumi) 2.3. apakšpunktā noteikts, ka normatīvā akta projekta tekstu raksta normatīvajiem aktiem atbilstošā vienotā stilistikā, izmantojot vienveidīgas un standartizētas vārdiskās izteiksmes. Projekta tekstā lietoti vārdi "nozares ministrija", "ministrija", "atbildīgā ministrija", "par projektu atbildīgā ministrija" un "par nozari atbildīgā ministrija", "investīciju projekti" un "projekti", "aizdevumu piešķiršana" un "aizdevumu izsniegšana". Lūdzam projekta tekstā lietot vienveidīgas vārdiskās izteiksmes, ja ir runa par vienu un to pašu apzīmējumu, savukārt gadījumos, kad atšķirīgu vārdisko izteiksmju lietojums ir nepieciešams, lai apzīmētu dažādas lietas, attiecīgu skaidrojumu iekļaut anotācijā. Šobrīd no projekta nav skaidrs, vai attiecīgie apzīmējumi apzīmē vienu un to pašu</w:t>
            </w:r>
            <w:r>
              <w:rPr>
                <w:sz w:val="20"/>
                <w:szCs w:val="20"/>
              </w:rPr>
              <w:t xml:space="preserve"> vai arī apzīmē dažādas lietas.</w:t>
            </w:r>
          </w:p>
        </w:tc>
        <w:tc>
          <w:tcPr>
            <w:tcW w:w="4111" w:type="dxa"/>
            <w:tcBorders>
              <w:left w:val="single" w:sz="6" w:space="0" w:color="000000"/>
              <w:bottom w:val="single" w:sz="4" w:space="0" w:color="auto"/>
              <w:right w:val="single" w:sz="6" w:space="0" w:color="000000"/>
            </w:tcBorders>
          </w:tcPr>
          <w:p w14:paraId="5727B666" w14:textId="77777777" w:rsidR="00CF7A39" w:rsidRPr="004C7404" w:rsidRDefault="00CF7A39" w:rsidP="00E27E51">
            <w:pPr>
              <w:pStyle w:val="naisc"/>
              <w:spacing w:before="0" w:after="0"/>
              <w:ind w:left="-57" w:right="-101"/>
              <w:rPr>
                <w:sz w:val="20"/>
                <w:szCs w:val="20"/>
              </w:rPr>
            </w:pPr>
            <w:r w:rsidRPr="004C7404">
              <w:rPr>
                <w:b/>
                <w:sz w:val="20"/>
                <w:szCs w:val="20"/>
              </w:rPr>
              <w:t>Ņemts vērā</w:t>
            </w:r>
          </w:p>
          <w:p w14:paraId="2CE58ECE" w14:textId="3B00DA25" w:rsidR="004C7404" w:rsidRPr="004C7404" w:rsidRDefault="008C4571" w:rsidP="008C4571">
            <w:pPr>
              <w:pStyle w:val="naisc"/>
              <w:spacing w:before="0" w:after="0"/>
              <w:ind w:left="-57" w:right="-101"/>
              <w:rPr>
                <w:sz w:val="20"/>
                <w:szCs w:val="20"/>
              </w:rPr>
            </w:pPr>
            <w:r>
              <w:rPr>
                <w:sz w:val="20"/>
                <w:szCs w:val="20"/>
              </w:rPr>
              <w:t xml:space="preserve">Lai nodrošinātu normatīvā akta un tajā lietoto vienotu stilistiku ir apvienoti termini, kam ir vienāda nozīme. Vienlaikus termini “Nozares ministrija” un “Atbildībā ministrija” ir atšķirīgi, jo par nozari (uzņēmumu) var būt atbildīga var būt viena ministrija, bet par īstenojamo projektu (piemēram: energoefektivitātes projektu gadījumā) atbildīga būs cita ministrija (attiecīgi - </w:t>
            </w:r>
            <w:r w:rsidRPr="008C4571">
              <w:rPr>
                <w:sz w:val="20"/>
                <w:szCs w:val="20"/>
              </w:rPr>
              <w:t>Vides aizsardzības un reģionālās attīstības ministrija</w:t>
            </w:r>
            <w:r>
              <w:rPr>
                <w:sz w:val="20"/>
                <w:szCs w:val="20"/>
              </w:rPr>
              <w:t>). Līdz ar to, lai aizdevuma pretendentam vai aizņēmējam būtu skaidrs, kuras ministrijas atzinums ir nepieciešams, ir lietoti dažādi termini.</w:t>
            </w:r>
          </w:p>
        </w:tc>
        <w:tc>
          <w:tcPr>
            <w:tcW w:w="2693" w:type="dxa"/>
            <w:tcBorders>
              <w:top w:val="single" w:sz="4" w:space="0" w:color="auto"/>
              <w:left w:val="single" w:sz="4" w:space="0" w:color="auto"/>
              <w:bottom w:val="single" w:sz="4" w:space="0" w:color="auto"/>
            </w:tcBorders>
          </w:tcPr>
          <w:p w14:paraId="7DA446BB" w14:textId="77777777" w:rsidR="00CF7A39" w:rsidRPr="00496E8F" w:rsidRDefault="00CF7A39" w:rsidP="00E27E51">
            <w:pPr>
              <w:ind w:left="-57" w:right="-101"/>
              <w:jc w:val="both"/>
              <w:rPr>
                <w:sz w:val="20"/>
                <w:szCs w:val="20"/>
              </w:rPr>
            </w:pPr>
          </w:p>
        </w:tc>
      </w:tr>
      <w:tr w:rsidR="00CF7A39" w:rsidRPr="00712B66" w14:paraId="723FC498" w14:textId="77777777">
        <w:tc>
          <w:tcPr>
            <w:tcW w:w="708" w:type="dxa"/>
            <w:tcBorders>
              <w:left w:val="single" w:sz="6" w:space="0" w:color="000000"/>
              <w:bottom w:val="single" w:sz="4" w:space="0" w:color="auto"/>
              <w:right w:val="single" w:sz="6" w:space="0" w:color="000000"/>
            </w:tcBorders>
          </w:tcPr>
          <w:p w14:paraId="1DEC189F" w14:textId="175CD8DB" w:rsidR="00CF7A39" w:rsidRDefault="00352A49" w:rsidP="00E27E51">
            <w:pPr>
              <w:pStyle w:val="naisc"/>
              <w:spacing w:before="0" w:after="0"/>
              <w:rPr>
                <w:sz w:val="20"/>
                <w:szCs w:val="20"/>
              </w:rPr>
            </w:pPr>
            <w:r>
              <w:rPr>
                <w:sz w:val="20"/>
                <w:szCs w:val="20"/>
              </w:rPr>
              <w:t>11.</w:t>
            </w:r>
          </w:p>
        </w:tc>
        <w:tc>
          <w:tcPr>
            <w:tcW w:w="3086" w:type="dxa"/>
            <w:tcBorders>
              <w:left w:val="single" w:sz="6" w:space="0" w:color="000000"/>
              <w:bottom w:val="single" w:sz="4" w:space="0" w:color="auto"/>
              <w:right w:val="single" w:sz="6" w:space="0" w:color="000000"/>
            </w:tcBorders>
          </w:tcPr>
          <w:p w14:paraId="0579501A" w14:textId="77777777" w:rsidR="00CF7A39" w:rsidRPr="00871238" w:rsidRDefault="00CF7A39" w:rsidP="00E27E51">
            <w:pPr>
              <w:pStyle w:val="naisc"/>
              <w:spacing w:before="0" w:after="0"/>
              <w:ind w:left="-57" w:right="-101"/>
              <w:jc w:val="both"/>
              <w:rPr>
                <w:sz w:val="20"/>
                <w:szCs w:val="20"/>
              </w:rPr>
            </w:pPr>
          </w:p>
        </w:tc>
        <w:tc>
          <w:tcPr>
            <w:tcW w:w="4394" w:type="dxa"/>
            <w:tcBorders>
              <w:left w:val="single" w:sz="6" w:space="0" w:color="000000"/>
              <w:bottom w:val="single" w:sz="4" w:space="0" w:color="auto"/>
              <w:right w:val="single" w:sz="6" w:space="0" w:color="000000"/>
            </w:tcBorders>
          </w:tcPr>
          <w:p w14:paraId="1A029BBC" w14:textId="25C30232" w:rsidR="00CF7A39" w:rsidRPr="00CF7A39" w:rsidRDefault="00CF7A39" w:rsidP="00CF7A39">
            <w:pPr>
              <w:pStyle w:val="naisc"/>
              <w:ind w:left="-57" w:right="-101"/>
              <w:jc w:val="both"/>
              <w:rPr>
                <w:sz w:val="20"/>
                <w:szCs w:val="20"/>
              </w:rPr>
            </w:pPr>
            <w:r w:rsidRPr="00CF7A39">
              <w:rPr>
                <w:sz w:val="20"/>
                <w:szCs w:val="20"/>
              </w:rPr>
              <w:t>Papildus vēršam uzmanību, ka likuma "Par budžetu un finanšu vadību" 36. pantā ir runa par valsts aizdevumu izsniegšanu, nevis valsts aizdevumu piešķiršanu.</w:t>
            </w:r>
          </w:p>
        </w:tc>
        <w:tc>
          <w:tcPr>
            <w:tcW w:w="4111" w:type="dxa"/>
            <w:tcBorders>
              <w:left w:val="single" w:sz="6" w:space="0" w:color="000000"/>
              <w:bottom w:val="single" w:sz="4" w:space="0" w:color="auto"/>
              <w:right w:val="single" w:sz="6" w:space="0" w:color="000000"/>
            </w:tcBorders>
          </w:tcPr>
          <w:p w14:paraId="28C04648" w14:textId="77777777" w:rsidR="00CF7A39" w:rsidRDefault="00CF7A39" w:rsidP="00E27E51">
            <w:pPr>
              <w:pStyle w:val="naisc"/>
              <w:spacing w:before="0" w:after="0"/>
              <w:ind w:left="-57" w:right="-101"/>
              <w:rPr>
                <w:b/>
                <w:sz w:val="20"/>
                <w:szCs w:val="20"/>
              </w:rPr>
            </w:pPr>
            <w:r>
              <w:rPr>
                <w:b/>
                <w:sz w:val="20"/>
                <w:szCs w:val="20"/>
              </w:rPr>
              <w:t>Ņemts vērā</w:t>
            </w:r>
          </w:p>
          <w:p w14:paraId="711D4E2A" w14:textId="6AD6B2A6" w:rsidR="00CF7A39" w:rsidRPr="00CF7A39" w:rsidRDefault="00CF7A39" w:rsidP="00CF7A39">
            <w:pPr>
              <w:pStyle w:val="naisc"/>
              <w:spacing w:before="0" w:after="0"/>
              <w:ind w:left="-57" w:right="-101"/>
              <w:rPr>
                <w:sz w:val="20"/>
                <w:szCs w:val="20"/>
              </w:rPr>
            </w:pPr>
            <w:r w:rsidRPr="00CF7A39">
              <w:rPr>
                <w:sz w:val="20"/>
                <w:szCs w:val="20"/>
              </w:rPr>
              <w:t>N</w:t>
            </w:r>
            <w:r>
              <w:rPr>
                <w:sz w:val="20"/>
                <w:szCs w:val="20"/>
              </w:rPr>
              <w:t>o</w:t>
            </w:r>
            <w:r w:rsidRPr="00CF7A39">
              <w:rPr>
                <w:sz w:val="20"/>
                <w:szCs w:val="20"/>
              </w:rPr>
              <w:t>te</w:t>
            </w:r>
            <w:r>
              <w:rPr>
                <w:sz w:val="20"/>
                <w:szCs w:val="20"/>
              </w:rPr>
              <w:t>ikumu projekta 20., 34., 47., 48., 53. un 76.punktā aizstāts vārds “piešķirt” ar “izsniegt” atbilstošajā locījumā.</w:t>
            </w:r>
          </w:p>
        </w:tc>
        <w:tc>
          <w:tcPr>
            <w:tcW w:w="2693" w:type="dxa"/>
            <w:tcBorders>
              <w:top w:val="single" w:sz="4" w:space="0" w:color="auto"/>
              <w:left w:val="single" w:sz="4" w:space="0" w:color="auto"/>
              <w:bottom w:val="single" w:sz="4" w:space="0" w:color="auto"/>
            </w:tcBorders>
          </w:tcPr>
          <w:p w14:paraId="0C4C9D6B" w14:textId="271922F1" w:rsidR="00CF7A39" w:rsidRPr="00496E8F" w:rsidRDefault="00352A49" w:rsidP="00E27E51">
            <w:pPr>
              <w:ind w:left="-57" w:right="-101"/>
              <w:jc w:val="both"/>
              <w:rPr>
                <w:sz w:val="20"/>
                <w:szCs w:val="20"/>
              </w:rPr>
            </w:pPr>
            <w:r w:rsidRPr="00352A49">
              <w:rPr>
                <w:sz w:val="20"/>
                <w:szCs w:val="20"/>
              </w:rPr>
              <w:t>Lūdzu skatīt precizēto noteikumu projektu</w:t>
            </w:r>
          </w:p>
        </w:tc>
      </w:tr>
    </w:tbl>
    <w:p w14:paraId="0B1F839A" w14:textId="2766794A" w:rsidR="003F6A45" w:rsidRDefault="003F6A45"/>
    <w:p w14:paraId="2147CECC" w14:textId="77777777" w:rsidR="003F6A45" w:rsidRDefault="003F6A45">
      <w:r>
        <w:br w:type="page"/>
      </w:r>
    </w:p>
    <w:p w14:paraId="0E387829" w14:textId="77777777" w:rsidR="003F6A45" w:rsidRDefault="003F6A45"/>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693"/>
      </w:tblGrid>
      <w:tr w:rsidR="00CF7A39" w:rsidRPr="00712B66" w14:paraId="0090111C" w14:textId="77777777">
        <w:tc>
          <w:tcPr>
            <w:tcW w:w="708" w:type="dxa"/>
            <w:tcBorders>
              <w:left w:val="single" w:sz="6" w:space="0" w:color="000000"/>
              <w:bottom w:val="single" w:sz="4" w:space="0" w:color="auto"/>
              <w:right w:val="single" w:sz="6" w:space="0" w:color="000000"/>
            </w:tcBorders>
          </w:tcPr>
          <w:p w14:paraId="04A87F31" w14:textId="54E2A4D5" w:rsidR="00CF7A39" w:rsidRDefault="00352A49" w:rsidP="00E27E51">
            <w:pPr>
              <w:pStyle w:val="naisc"/>
              <w:spacing w:before="0" w:after="0"/>
              <w:rPr>
                <w:sz w:val="20"/>
                <w:szCs w:val="20"/>
              </w:rPr>
            </w:pPr>
            <w:r>
              <w:rPr>
                <w:sz w:val="20"/>
                <w:szCs w:val="20"/>
              </w:rPr>
              <w:t>12.</w:t>
            </w:r>
          </w:p>
        </w:tc>
        <w:tc>
          <w:tcPr>
            <w:tcW w:w="3086" w:type="dxa"/>
            <w:gridSpan w:val="2"/>
            <w:tcBorders>
              <w:left w:val="single" w:sz="6" w:space="0" w:color="000000"/>
              <w:bottom w:val="single" w:sz="4" w:space="0" w:color="auto"/>
              <w:right w:val="single" w:sz="6" w:space="0" w:color="000000"/>
            </w:tcBorders>
          </w:tcPr>
          <w:p w14:paraId="4F242A4E" w14:textId="77777777" w:rsidR="00CF7A39" w:rsidRPr="00871238" w:rsidRDefault="00CF7A39" w:rsidP="00E27E51">
            <w:pPr>
              <w:pStyle w:val="naisc"/>
              <w:spacing w:before="0" w:after="0"/>
              <w:ind w:left="-57" w:right="-101"/>
              <w:jc w:val="both"/>
              <w:rPr>
                <w:sz w:val="20"/>
                <w:szCs w:val="20"/>
              </w:rPr>
            </w:pPr>
          </w:p>
        </w:tc>
        <w:tc>
          <w:tcPr>
            <w:tcW w:w="4394" w:type="dxa"/>
            <w:tcBorders>
              <w:left w:val="single" w:sz="6" w:space="0" w:color="000000"/>
              <w:bottom w:val="single" w:sz="4" w:space="0" w:color="auto"/>
              <w:right w:val="single" w:sz="6" w:space="0" w:color="000000"/>
            </w:tcBorders>
          </w:tcPr>
          <w:p w14:paraId="3977D252" w14:textId="4ECA2D60" w:rsidR="00CF7A39" w:rsidRPr="00CF7A39" w:rsidRDefault="00CF7A39" w:rsidP="00CF7A39">
            <w:pPr>
              <w:pStyle w:val="naisc"/>
              <w:ind w:left="-57" w:right="-101"/>
              <w:jc w:val="both"/>
              <w:rPr>
                <w:sz w:val="20"/>
                <w:szCs w:val="20"/>
              </w:rPr>
            </w:pPr>
            <w:r w:rsidRPr="00CF7A39">
              <w:rPr>
                <w:sz w:val="20"/>
                <w:szCs w:val="20"/>
              </w:rPr>
              <w:t>Vienlaikus vēršam uzmanību, ka projekta tekstā tiek lietoti vārdu savienojumi "aizdevuma pretendents" un "aizdevuma aizņēmējs", lai gan projekta 2.1. un 2.2. apakšpunkti paredz terminus pretendents un aizņēmējs. Lūdzam precizēt projektu, ja ar vārdiem "aizdevuma pretendents" un "aizdevuma aizņēmējs" saprot pretendentu un aizņēmēju.</w:t>
            </w:r>
          </w:p>
        </w:tc>
        <w:tc>
          <w:tcPr>
            <w:tcW w:w="4111" w:type="dxa"/>
            <w:gridSpan w:val="2"/>
            <w:tcBorders>
              <w:left w:val="single" w:sz="6" w:space="0" w:color="000000"/>
              <w:bottom w:val="single" w:sz="4" w:space="0" w:color="auto"/>
              <w:right w:val="single" w:sz="6" w:space="0" w:color="000000"/>
            </w:tcBorders>
          </w:tcPr>
          <w:p w14:paraId="42EB5279" w14:textId="77777777" w:rsidR="00CF7A39" w:rsidRPr="00CF7A39" w:rsidRDefault="00CF7A39" w:rsidP="00E27E51">
            <w:pPr>
              <w:pStyle w:val="naisc"/>
              <w:spacing w:before="0" w:after="0"/>
              <w:ind w:left="-57" w:right="-101"/>
              <w:rPr>
                <w:sz w:val="20"/>
                <w:szCs w:val="20"/>
              </w:rPr>
            </w:pPr>
            <w:r>
              <w:rPr>
                <w:b/>
                <w:sz w:val="20"/>
                <w:szCs w:val="20"/>
              </w:rPr>
              <w:t>Ņemts vērā</w:t>
            </w:r>
          </w:p>
          <w:p w14:paraId="44CC616A" w14:textId="56F57B33" w:rsidR="00CF7A39" w:rsidRPr="00CF7A39" w:rsidRDefault="004C7404" w:rsidP="004C7404">
            <w:pPr>
              <w:pStyle w:val="naisc"/>
              <w:spacing w:before="0" w:after="0"/>
              <w:ind w:left="-57" w:right="-101"/>
              <w:rPr>
                <w:sz w:val="20"/>
                <w:szCs w:val="20"/>
              </w:rPr>
            </w:pPr>
            <w:r>
              <w:rPr>
                <w:sz w:val="20"/>
                <w:szCs w:val="20"/>
              </w:rPr>
              <w:t>Precizēts termins “Pretendents”, aizstājot to ar “Aizdevuma pretendents”. Savukārt gadījumos, kad vārds “aizdevums” ir lietots pirms termina “Aizņēmējs”, tas ir lasāms atsevišķi un nav lasāms kopā ar terminu “Aizņēmējs”.</w:t>
            </w:r>
          </w:p>
        </w:tc>
        <w:tc>
          <w:tcPr>
            <w:tcW w:w="2693" w:type="dxa"/>
            <w:tcBorders>
              <w:top w:val="single" w:sz="4" w:space="0" w:color="auto"/>
              <w:left w:val="single" w:sz="4" w:space="0" w:color="auto"/>
              <w:bottom w:val="single" w:sz="4" w:space="0" w:color="auto"/>
            </w:tcBorders>
          </w:tcPr>
          <w:p w14:paraId="6FC2003D" w14:textId="58576EDB" w:rsidR="00CF7A39" w:rsidRPr="00496E8F" w:rsidRDefault="00352A49" w:rsidP="00E27E51">
            <w:pPr>
              <w:ind w:left="-57" w:right="-101"/>
              <w:jc w:val="both"/>
              <w:rPr>
                <w:sz w:val="20"/>
                <w:szCs w:val="20"/>
              </w:rPr>
            </w:pPr>
            <w:r w:rsidRPr="00352A49">
              <w:rPr>
                <w:sz w:val="20"/>
                <w:szCs w:val="20"/>
              </w:rPr>
              <w:t>Lūdzu skatīt precizēto noteikumu projektu</w:t>
            </w:r>
          </w:p>
        </w:tc>
      </w:tr>
      <w:tr w:rsidR="00E27E51" w:rsidRPr="00712B66" w14:paraId="1F652334"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5F460D35" w14:textId="77777777" w:rsidR="00E27E51" w:rsidRPr="00712B66" w:rsidRDefault="00E27E51" w:rsidP="00E27E51">
            <w:pPr>
              <w:pStyle w:val="naiskr"/>
              <w:spacing w:before="0" w:after="0"/>
            </w:pPr>
          </w:p>
          <w:p w14:paraId="1D759D1F" w14:textId="77777777" w:rsidR="00E27E51" w:rsidRPr="00712B66" w:rsidRDefault="00E27E51" w:rsidP="00E27E51">
            <w:pPr>
              <w:pStyle w:val="naiskr"/>
              <w:spacing w:before="0" w:after="0"/>
            </w:pPr>
            <w:r w:rsidRPr="00712B66">
              <w:t>Atbildīgā amatpersona</w:t>
            </w:r>
          </w:p>
        </w:tc>
        <w:tc>
          <w:tcPr>
            <w:tcW w:w="6179" w:type="dxa"/>
            <w:gridSpan w:val="3"/>
          </w:tcPr>
          <w:p w14:paraId="44197332" w14:textId="77777777" w:rsidR="00E27E51" w:rsidRPr="00712B66" w:rsidRDefault="00E27E51" w:rsidP="00E27E51">
            <w:pPr>
              <w:pStyle w:val="naiskr"/>
              <w:spacing w:before="0" w:after="0"/>
              <w:ind w:firstLine="720"/>
            </w:pPr>
            <w:r w:rsidRPr="00712B66">
              <w:t>  </w:t>
            </w:r>
          </w:p>
        </w:tc>
      </w:tr>
      <w:tr w:rsidR="00E27E51" w:rsidRPr="00712B66" w14:paraId="45E429F9"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060433CC" w14:textId="77777777" w:rsidR="00E27E51" w:rsidRPr="00712B66" w:rsidRDefault="00E27E51" w:rsidP="00E27E51">
            <w:pPr>
              <w:pStyle w:val="naiskr"/>
              <w:spacing w:before="0" w:after="0"/>
              <w:ind w:firstLine="720"/>
            </w:pPr>
          </w:p>
        </w:tc>
        <w:tc>
          <w:tcPr>
            <w:tcW w:w="6179" w:type="dxa"/>
            <w:gridSpan w:val="3"/>
            <w:tcBorders>
              <w:top w:val="single" w:sz="6" w:space="0" w:color="000000"/>
            </w:tcBorders>
          </w:tcPr>
          <w:p w14:paraId="6A43CB89" w14:textId="77777777" w:rsidR="00E27E51" w:rsidRPr="00712B66" w:rsidRDefault="00E27E51" w:rsidP="00E27E51">
            <w:pPr>
              <w:pStyle w:val="naisc"/>
              <w:spacing w:before="0" w:after="0"/>
              <w:ind w:firstLine="720"/>
            </w:pPr>
            <w:r w:rsidRPr="00712B66">
              <w:t>(paraksts*)</w:t>
            </w:r>
          </w:p>
        </w:tc>
      </w:tr>
    </w:tbl>
    <w:p w14:paraId="5D2B222D" w14:textId="77777777" w:rsidR="007116C7" w:rsidRDefault="007116C7" w:rsidP="00DB7395">
      <w:pPr>
        <w:pStyle w:val="naisf"/>
        <w:spacing w:before="0" w:after="0"/>
        <w:ind w:firstLine="720"/>
      </w:pPr>
    </w:p>
    <w:p w14:paraId="5ACB07B1" w14:textId="77777777" w:rsidR="003B71E0" w:rsidRPr="00712B66" w:rsidRDefault="003B71E0" w:rsidP="00DB7395">
      <w:pPr>
        <w:pStyle w:val="naisf"/>
        <w:spacing w:before="0" w:after="0"/>
        <w:ind w:firstLine="720"/>
      </w:pPr>
    </w:p>
    <w:p w14:paraId="39F2E7FE" w14:textId="2E30BA3C" w:rsidR="00317DC7"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E6558C8" w14:textId="77777777" w:rsidR="0091396A" w:rsidRPr="00712B66" w:rsidRDefault="0091396A" w:rsidP="00DB7395">
      <w:pPr>
        <w:pStyle w:val="naisf"/>
        <w:spacing w:before="0" w:after="0"/>
        <w:ind w:firstLine="720"/>
      </w:pPr>
    </w:p>
    <w:p w14:paraId="36BADB2F" w14:textId="5135DF9D" w:rsidR="004373E1" w:rsidRPr="00712B66" w:rsidRDefault="0091396A" w:rsidP="008F59C8">
      <w:pPr>
        <w:pStyle w:val="naisf"/>
        <w:spacing w:before="0" w:after="0"/>
        <w:ind w:firstLine="0"/>
      </w:pPr>
      <w:r>
        <w:t>Armīns Gasjūns</w:t>
      </w:r>
    </w:p>
    <w:tbl>
      <w:tblPr>
        <w:tblW w:w="0" w:type="auto"/>
        <w:tblLook w:val="00A0" w:firstRow="1" w:lastRow="0" w:firstColumn="1" w:lastColumn="0" w:noHBand="0" w:noVBand="0"/>
      </w:tblPr>
      <w:tblGrid>
        <w:gridCol w:w="8268"/>
      </w:tblGrid>
      <w:tr w:rsidR="008655A2" w:rsidRPr="00712B66" w14:paraId="33C6CACA" w14:textId="77777777">
        <w:tc>
          <w:tcPr>
            <w:tcW w:w="8268" w:type="dxa"/>
            <w:tcBorders>
              <w:top w:val="single" w:sz="4" w:space="0" w:color="000000"/>
            </w:tcBorders>
          </w:tcPr>
          <w:p w14:paraId="397760BB"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7D9F1B42" w14:textId="77777777">
        <w:tc>
          <w:tcPr>
            <w:tcW w:w="8268" w:type="dxa"/>
            <w:tcBorders>
              <w:bottom w:val="single" w:sz="4" w:space="0" w:color="000000"/>
            </w:tcBorders>
          </w:tcPr>
          <w:p w14:paraId="6C5E6D97" w14:textId="0FA6BD30" w:rsidR="008655A2" w:rsidRPr="00712B66" w:rsidRDefault="00F56CE7" w:rsidP="0036160E">
            <w:r>
              <w:t>Valsts kases Finansēšanas departamenta direktors</w:t>
            </w:r>
          </w:p>
        </w:tc>
      </w:tr>
      <w:tr w:rsidR="008655A2" w:rsidRPr="00712B66" w14:paraId="16DB34AB" w14:textId="77777777">
        <w:tc>
          <w:tcPr>
            <w:tcW w:w="8268" w:type="dxa"/>
            <w:tcBorders>
              <w:top w:val="single" w:sz="4" w:space="0" w:color="000000"/>
            </w:tcBorders>
          </w:tcPr>
          <w:p w14:paraId="5BE5B846" w14:textId="77777777" w:rsidR="008655A2" w:rsidRPr="00712B66" w:rsidRDefault="00184479" w:rsidP="00184479">
            <w:pPr>
              <w:jc w:val="center"/>
            </w:pPr>
            <w:r>
              <w:t>(</w:t>
            </w:r>
            <w:r w:rsidR="008655A2" w:rsidRPr="00712B66">
              <w:t>amats</w:t>
            </w:r>
            <w:r>
              <w:t>)</w:t>
            </w:r>
          </w:p>
        </w:tc>
      </w:tr>
      <w:tr w:rsidR="008655A2" w:rsidRPr="00712B66" w14:paraId="3B1B632E" w14:textId="77777777">
        <w:tc>
          <w:tcPr>
            <w:tcW w:w="8268" w:type="dxa"/>
            <w:tcBorders>
              <w:bottom w:val="single" w:sz="4" w:space="0" w:color="000000"/>
            </w:tcBorders>
          </w:tcPr>
          <w:p w14:paraId="7280326D" w14:textId="762ACA29" w:rsidR="008655A2" w:rsidRPr="00712B66" w:rsidRDefault="00F56CE7" w:rsidP="0036160E">
            <w:r>
              <w:t xml:space="preserve">67094208  </w:t>
            </w:r>
          </w:p>
        </w:tc>
      </w:tr>
      <w:tr w:rsidR="008655A2" w:rsidRPr="00712B66" w14:paraId="59AA1B78" w14:textId="77777777">
        <w:tc>
          <w:tcPr>
            <w:tcW w:w="8268" w:type="dxa"/>
            <w:tcBorders>
              <w:top w:val="single" w:sz="4" w:space="0" w:color="000000"/>
            </w:tcBorders>
          </w:tcPr>
          <w:p w14:paraId="24B89EA0" w14:textId="77777777" w:rsidR="008655A2" w:rsidRPr="00712B66" w:rsidRDefault="00184479" w:rsidP="00184479">
            <w:pPr>
              <w:jc w:val="center"/>
            </w:pPr>
            <w:r>
              <w:t>(</w:t>
            </w:r>
            <w:r w:rsidR="008655A2" w:rsidRPr="00712B66">
              <w:t>tālruņa un faksa numurs</w:t>
            </w:r>
            <w:r>
              <w:t>)</w:t>
            </w:r>
          </w:p>
        </w:tc>
      </w:tr>
      <w:tr w:rsidR="008655A2" w:rsidRPr="00712B66" w14:paraId="299E114F" w14:textId="77777777">
        <w:tc>
          <w:tcPr>
            <w:tcW w:w="8268" w:type="dxa"/>
            <w:tcBorders>
              <w:bottom w:val="single" w:sz="4" w:space="0" w:color="000000"/>
            </w:tcBorders>
          </w:tcPr>
          <w:p w14:paraId="6DEC9F09" w14:textId="5761DB92" w:rsidR="008655A2" w:rsidRPr="00712B66" w:rsidRDefault="00F56CE7" w:rsidP="0036160E">
            <w:r>
              <w:t>Armins.Gasjuns@kase.gov.lv</w:t>
            </w:r>
          </w:p>
        </w:tc>
      </w:tr>
      <w:tr w:rsidR="008655A2" w:rsidRPr="00712B66" w14:paraId="2A4F5AE9" w14:textId="77777777">
        <w:tc>
          <w:tcPr>
            <w:tcW w:w="8268" w:type="dxa"/>
            <w:tcBorders>
              <w:top w:val="single" w:sz="4" w:space="0" w:color="000000"/>
            </w:tcBorders>
          </w:tcPr>
          <w:p w14:paraId="300AD30D" w14:textId="77777777" w:rsidR="008655A2" w:rsidRPr="00712B66" w:rsidRDefault="00184479" w:rsidP="00184479">
            <w:pPr>
              <w:jc w:val="center"/>
            </w:pPr>
            <w:r>
              <w:t>(</w:t>
            </w:r>
            <w:r w:rsidR="008655A2" w:rsidRPr="00712B66">
              <w:t>e-pasta adrese</w:t>
            </w:r>
            <w:r>
              <w:t>)</w:t>
            </w:r>
          </w:p>
        </w:tc>
      </w:tr>
    </w:tbl>
    <w:p w14:paraId="415F7788" w14:textId="77777777" w:rsidR="007116C7" w:rsidRDefault="007116C7" w:rsidP="00015C84">
      <w:pPr>
        <w:pStyle w:val="naisf"/>
        <w:spacing w:before="0" w:after="0"/>
        <w:ind w:firstLine="0"/>
        <w:jc w:val="left"/>
        <w:rPr>
          <w:sz w:val="28"/>
          <w:szCs w:val="28"/>
        </w:rPr>
      </w:pPr>
    </w:p>
    <w:sectPr w:rsidR="007116C7" w:rsidSect="00452F3F">
      <w:headerReference w:type="even" r:id="rId7"/>
      <w:headerReference w:type="default" r:id="rId8"/>
      <w:footerReference w:type="default" r:id="rId9"/>
      <w:footerReference w:type="first" r:id="rId10"/>
      <w:pgSz w:w="16838" w:h="11906" w:orient="landscape" w:code="9"/>
      <w:pgMar w:top="1701" w:right="1134"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63C1" w14:textId="77777777" w:rsidR="00B76BCA" w:rsidRDefault="00B76BCA">
      <w:r>
        <w:separator/>
      </w:r>
    </w:p>
  </w:endnote>
  <w:endnote w:type="continuationSeparator" w:id="0">
    <w:p w14:paraId="0CA93B40" w14:textId="77777777" w:rsidR="00B76BCA" w:rsidRDefault="00B7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51A5" w14:textId="26004D62" w:rsidR="00561D3C" w:rsidRDefault="003B0A95">
    <w:pPr>
      <w:pStyle w:val="Footer"/>
    </w:pPr>
    <w:r>
      <w:rPr>
        <w:sz w:val="20"/>
        <w:szCs w:val="20"/>
      </w:rPr>
      <w:t>FM</w:t>
    </w:r>
    <w:r w:rsidR="00805DD5">
      <w:rPr>
        <w:sz w:val="20"/>
        <w:szCs w:val="20"/>
      </w:rPr>
      <w:t>I</w:t>
    </w:r>
    <w:r w:rsidR="00561D3C" w:rsidRPr="00015C84">
      <w:rPr>
        <w:sz w:val="20"/>
        <w:szCs w:val="20"/>
      </w:rPr>
      <w:t>zz_</w:t>
    </w:r>
    <w:r>
      <w:rPr>
        <w:sz w:val="20"/>
        <w:szCs w:val="20"/>
      </w:rPr>
      <w:t>26</w:t>
    </w:r>
    <w:r w:rsidR="00805DD5">
      <w:rPr>
        <w:sz w:val="20"/>
        <w:szCs w:val="20"/>
      </w:rPr>
      <w:t>0619_aizdevumi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9346" w14:textId="0D153F8E" w:rsidR="006455E7" w:rsidRDefault="003B0A95" w:rsidP="00364BB6">
    <w:pPr>
      <w:pStyle w:val="Footer"/>
      <w:rPr>
        <w:sz w:val="20"/>
        <w:szCs w:val="20"/>
      </w:rPr>
    </w:pPr>
    <w:r>
      <w:rPr>
        <w:sz w:val="20"/>
        <w:szCs w:val="20"/>
      </w:rPr>
      <w:t>FM</w:t>
    </w:r>
    <w:r w:rsidR="00805DD5">
      <w:rPr>
        <w:sz w:val="20"/>
        <w:szCs w:val="20"/>
      </w:rPr>
      <w:t>I</w:t>
    </w:r>
    <w:r w:rsidR="00015C84" w:rsidRPr="00015C84">
      <w:rPr>
        <w:sz w:val="20"/>
        <w:szCs w:val="20"/>
      </w:rPr>
      <w:t>zz_</w:t>
    </w:r>
    <w:r>
      <w:rPr>
        <w:sz w:val="20"/>
        <w:szCs w:val="20"/>
      </w:rPr>
      <w:t>26</w:t>
    </w:r>
    <w:r w:rsidR="00805DD5">
      <w:rPr>
        <w:sz w:val="20"/>
        <w:szCs w:val="20"/>
      </w:rPr>
      <w:t>0619_aizdevumi</w:t>
    </w:r>
  </w:p>
  <w:p w14:paraId="7888999D" w14:textId="77777777" w:rsidR="00805DD5" w:rsidRPr="00015C84" w:rsidRDefault="00805DD5" w:rsidP="00364BB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82A8" w14:textId="77777777" w:rsidR="00B76BCA" w:rsidRDefault="00B76BCA">
      <w:r>
        <w:separator/>
      </w:r>
    </w:p>
  </w:footnote>
  <w:footnote w:type="continuationSeparator" w:id="0">
    <w:p w14:paraId="585560BF" w14:textId="77777777" w:rsidR="00B76BCA" w:rsidRDefault="00B7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B2E3" w14:textId="737A8139"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96A">
      <w:rPr>
        <w:rStyle w:val="PageNumber"/>
        <w:noProof/>
      </w:rPr>
      <w:t>3</w:t>
    </w:r>
    <w:r>
      <w:rPr>
        <w:rStyle w:val="PageNumber"/>
      </w:rPr>
      <w:fldChar w:fldCharType="end"/>
    </w:r>
  </w:p>
  <w:p w14:paraId="7920AC44"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9394" w14:textId="1FE3855C"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F3F">
      <w:rPr>
        <w:rStyle w:val="PageNumber"/>
        <w:noProof/>
      </w:rPr>
      <w:t>11</w:t>
    </w:r>
    <w:r>
      <w:rPr>
        <w:rStyle w:val="PageNumber"/>
      </w:rPr>
      <w:fldChar w:fldCharType="end"/>
    </w:r>
  </w:p>
  <w:p w14:paraId="3BF6804A"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13"/>
    <w:multiLevelType w:val="multilevel"/>
    <w:tmpl w:val="C4E4EB02"/>
    <w:lvl w:ilvl="0">
      <w:start w:val="1"/>
      <w:numFmt w:val="decimal"/>
      <w:lvlText w:val="%1."/>
      <w:lvlJc w:val="left"/>
      <w:pPr>
        <w:ind w:left="1141" w:hanging="432"/>
      </w:pPr>
      <w:rPr>
        <w:rFonts w:hint="default"/>
      </w:rPr>
    </w:lvl>
    <w:lvl w:ilvl="1">
      <w:start w:val="1"/>
      <w:numFmt w:val="decimal"/>
      <w:lvlText w:val="%1.%2."/>
      <w:lvlJc w:val="left"/>
      <w:pPr>
        <w:ind w:left="368" w:hanging="794"/>
      </w:pPr>
      <w:rPr>
        <w:rFonts w:hint="default"/>
      </w:rPr>
    </w:lvl>
    <w:lvl w:ilvl="2">
      <w:start w:val="1"/>
      <w:numFmt w:val="decimal"/>
      <w:lvlText w:val="%1.%2.%3."/>
      <w:lvlJc w:val="left"/>
      <w:pPr>
        <w:tabs>
          <w:tab w:val="num" w:pos="765"/>
        </w:tabs>
        <w:ind w:left="765" w:hanging="907"/>
      </w:pPr>
      <w:rPr>
        <w:rFonts w:hint="default"/>
      </w:rPr>
    </w:lvl>
    <w:lvl w:ilvl="3">
      <w:start w:val="1"/>
      <w:numFmt w:val="decimal"/>
      <w:lvlText w:val="%1.%2.%3.%4."/>
      <w:lvlJc w:val="left"/>
      <w:pPr>
        <w:tabs>
          <w:tab w:val="num" w:pos="793"/>
        </w:tabs>
        <w:ind w:left="793" w:hanging="1077"/>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1" w15:restartNumberingAfterBreak="0">
    <w:nsid w:val="197F460B"/>
    <w:multiLevelType w:val="hybridMultilevel"/>
    <w:tmpl w:val="1C8CB064"/>
    <w:lvl w:ilvl="0" w:tplc="612C405A">
      <w:start w:val="4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554C1"/>
    <w:multiLevelType w:val="multilevel"/>
    <w:tmpl w:val="795E881E"/>
    <w:lvl w:ilvl="0">
      <w:start w:val="2"/>
      <w:numFmt w:val="decimal"/>
      <w:lvlText w:val="%1."/>
      <w:lvlJc w:val="left"/>
      <w:pPr>
        <w:ind w:left="450" w:hanging="450"/>
      </w:pPr>
      <w:rPr>
        <w:rFonts w:hint="default"/>
        <w:b/>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1F8C"/>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62EF"/>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64E7"/>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A1B"/>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17A85"/>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D9F"/>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5F04"/>
    <w:rsid w:val="002366E0"/>
    <w:rsid w:val="00236DE1"/>
    <w:rsid w:val="002372EE"/>
    <w:rsid w:val="002372FD"/>
    <w:rsid w:val="0023764D"/>
    <w:rsid w:val="00237D92"/>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2E80"/>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5A8A"/>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5E"/>
    <w:rsid w:val="003373E8"/>
    <w:rsid w:val="003438AE"/>
    <w:rsid w:val="003443DD"/>
    <w:rsid w:val="00344D5A"/>
    <w:rsid w:val="00346EB6"/>
    <w:rsid w:val="00347EDB"/>
    <w:rsid w:val="00350797"/>
    <w:rsid w:val="00351A85"/>
    <w:rsid w:val="003522E8"/>
    <w:rsid w:val="00352A49"/>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1E8F"/>
    <w:rsid w:val="00372221"/>
    <w:rsid w:val="00372CF2"/>
    <w:rsid w:val="003736B5"/>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62A8"/>
    <w:rsid w:val="003A70FF"/>
    <w:rsid w:val="003A72DE"/>
    <w:rsid w:val="003A74D2"/>
    <w:rsid w:val="003A756B"/>
    <w:rsid w:val="003A7902"/>
    <w:rsid w:val="003B0A95"/>
    <w:rsid w:val="003B23D7"/>
    <w:rsid w:val="003B34CB"/>
    <w:rsid w:val="003B3AB4"/>
    <w:rsid w:val="003B3CA8"/>
    <w:rsid w:val="003B45D5"/>
    <w:rsid w:val="003B4BE1"/>
    <w:rsid w:val="003B52FE"/>
    <w:rsid w:val="003B572A"/>
    <w:rsid w:val="003B6325"/>
    <w:rsid w:val="003B71E0"/>
    <w:rsid w:val="003B78A4"/>
    <w:rsid w:val="003B7F60"/>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A45"/>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0DEC"/>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F3F"/>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8F"/>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039"/>
    <w:rsid w:val="004B5664"/>
    <w:rsid w:val="004C2107"/>
    <w:rsid w:val="004C5FC6"/>
    <w:rsid w:val="004C6435"/>
    <w:rsid w:val="004C649B"/>
    <w:rsid w:val="004C7404"/>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6DB"/>
    <w:rsid w:val="00503D4C"/>
    <w:rsid w:val="00503D7F"/>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24A"/>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4CE9"/>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5C06"/>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26B"/>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4A69"/>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1E51"/>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C29"/>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A5B"/>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0DAF"/>
    <w:rsid w:val="00783C7B"/>
    <w:rsid w:val="0078556C"/>
    <w:rsid w:val="007855C5"/>
    <w:rsid w:val="007856D3"/>
    <w:rsid w:val="00785ABD"/>
    <w:rsid w:val="007860C6"/>
    <w:rsid w:val="00786254"/>
    <w:rsid w:val="007862B6"/>
    <w:rsid w:val="00786DB0"/>
    <w:rsid w:val="00787D47"/>
    <w:rsid w:val="0079014E"/>
    <w:rsid w:val="0079148B"/>
    <w:rsid w:val="00792971"/>
    <w:rsid w:val="0079351C"/>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5F2"/>
    <w:rsid w:val="007C27FB"/>
    <w:rsid w:val="007C2CBB"/>
    <w:rsid w:val="007C309C"/>
    <w:rsid w:val="007C4209"/>
    <w:rsid w:val="007C5613"/>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3F3"/>
    <w:rsid w:val="00804BCF"/>
    <w:rsid w:val="00804FA4"/>
    <w:rsid w:val="00805275"/>
    <w:rsid w:val="00805DD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1238"/>
    <w:rsid w:val="00873D88"/>
    <w:rsid w:val="0087433B"/>
    <w:rsid w:val="008755A8"/>
    <w:rsid w:val="0087621E"/>
    <w:rsid w:val="008767B2"/>
    <w:rsid w:val="00877328"/>
    <w:rsid w:val="0087787A"/>
    <w:rsid w:val="008802F0"/>
    <w:rsid w:val="00880992"/>
    <w:rsid w:val="00881692"/>
    <w:rsid w:val="00883143"/>
    <w:rsid w:val="00884CE1"/>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4571"/>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25"/>
    <w:rsid w:val="008E0AA7"/>
    <w:rsid w:val="008E2355"/>
    <w:rsid w:val="008E237E"/>
    <w:rsid w:val="008E3151"/>
    <w:rsid w:val="008E3386"/>
    <w:rsid w:val="008E5410"/>
    <w:rsid w:val="008E5A3F"/>
    <w:rsid w:val="008E7209"/>
    <w:rsid w:val="008E7448"/>
    <w:rsid w:val="008F11BB"/>
    <w:rsid w:val="008F16FF"/>
    <w:rsid w:val="008F182F"/>
    <w:rsid w:val="008F1E95"/>
    <w:rsid w:val="008F2304"/>
    <w:rsid w:val="008F57DD"/>
    <w:rsid w:val="008F59C8"/>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6A"/>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6C02"/>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1C9"/>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2CB"/>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67A9"/>
    <w:rsid w:val="009F7ED1"/>
    <w:rsid w:val="00A0149B"/>
    <w:rsid w:val="00A01607"/>
    <w:rsid w:val="00A018D4"/>
    <w:rsid w:val="00A02F9D"/>
    <w:rsid w:val="00A03767"/>
    <w:rsid w:val="00A04834"/>
    <w:rsid w:val="00A05628"/>
    <w:rsid w:val="00A07DCF"/>
    <w:rsid w:val="00A1134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2C9C"/>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497"/>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0293"/>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668"/>
    <w:rsid w:val="00AE68E2"/>
    <w:rsid w:val="00AE70F0"/>
    <w:rsid w:val="00AF0157"/>
    <w:rsid w:val="00AF1B2E"/>
    <w:rsid w:val="00AF2EC7"/>
    <w:rsid w:val="00AF3AC0"/>
    <w:rsid w:val="00AF4F4A"/>
    <w:rsid w:val="00B00C24"/>
    <w:rsid w:val="00B00F93"/>
    <w:rsid w:val="00B01BBE"/>
    <w:rsid w:val="00B03F92"/>
    <w:rsid w:val="00B0414F"/>
    <w:rsid w:val="00B055D8"/>
    <w:rsid w:val="00B06CD6"/>
    <w:rsid w:val="00B06EBC"/>
    <w:rsid w:val="00B11D2D"/>
    <w:rsid w:val="00B123F0"/>
    <w:rsid w:val="00B12891"/>
    <w:rsid w:val="00B12FE9"/>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BCA"/>
    <w:rsid w:val="00B76C02"/>
    <w:rsid w:val="00B77503"/>
    <w:rsid w:val="00B77AE8"/>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3638"/>
    <w:rsid w:val="00BB4BEA"/>
    <w:rsid w:val="00BB4C1A"/>
    <w:rsid w:val="00BB50AB"/>
    <w:rsid w:val="00BB6664"/>
    <w:rsid w:val="00BC01FC"/>
    <w:rsid w:val="00BC1F79"/>
    <w:rsid w:val="00BC2201"/>
    <w:rsid w:val="00BC3C7A"/>
    <w:rsid w:val="00BC7DC6"/>
    <w:rsid w:val="00BD1039"/>
    <w:rsid w:val="00BD13B5"/>
    <w:rsid w:val="00BD2EFC"/>
    <w:rsid w:val="00BD340E"/>
    <w:rsid w:val="00BD5901"/>
    <w:rsid w:val="00BD60AD"/>
    <w:rsid w:val="00BD6C02"/>
    <w:rsid w:val="00BE1244"/>
    <w:rsid w:val="00BE165D"/>
    <w:rsid w:val="00BE2394"/>
    <w:rsid w:val="00BE2702"/>
    <w:rsid w:val="00BE3748"/>
    <w:rsid w:val="00BE4326"/>
    <w:rsid w:val="00BE5F4F"/>
    <w:rsid w:val="00BE60DB"/>
    <w:rsid w:val="00BE6351"/>
    <w:rsid w:val="00BE6641"/>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BD"/>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4C20"/>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0B6"/>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5AB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CF7A39"/>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57BE"/>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1C6D"/>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E99"/>
    <w:rsid w:val="00E12FCF"/>
    <w:rsid w:val="00E13273"/>
    <w:rsid w:val="00E13379"/>
    <w:rsid w:val="00E139EE"/>
    <w:rsid w:val="00E14D83"/>
    <w:rsid w:val="00E14FA6"/>
    <w:rsid w:val="00E15A0D"/>
    <w:rsid w:val="00E16640"/>
    <w:rsid w:val="00E1740F"/>
    <w:rsid w:val="00E200CF"/>
    <w:rsid w:val="00E24287"/>
    <w:rsid w:val="00E26A48"/>
    <w:rsid w:val="00E27E51"/>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377"/>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23C"/>
    <w:rsid w:val="00E91F96"/>
    <w:rsid w:val="00E92E99"/>
    <w:rsid w:val="00E93DAF"/>
    <w:rsid w:val="00E968FD"/>
    <w:rsid w:val="00E96D55"/>
    <w:rsid w:val="00E97993"/>
    <w:rsid w:val="00EA0D5D"/>
    <w:rsid w:val="00EA1192"/>
    <w:rsid w:val="00EA153F"/>
    <w:rsid w:val="00EA1F6C"/>
    <w:rsid w:val="00EA2788"/>
    <w:rsid w:val="00EA2C6E"/>
    <w:rsid w:val="00EA41FA"/>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261D"/>
    <w:rsid w:val="00F24EA4"/>
    <w:rsid w:val="00F2625A"/>
    <w:rsid w:val="00F31A03"/>
    <w:rsid w:val="00F3283C"/>
    <w:rsid w:val="00F32D0F"/>
    <w:rsid w:val="00F343F0"/>
    <w:rsid w:val="00F34620"/>
    <w:rsid w:val="00F34AAB"/>
    <w:rsid w:val="00F34BDF"/>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6CE7"/>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848"/>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056"/>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4C756"/>
  <w15:chartTrackingRefBased/>
  <w15:docId w15:val="{B729138C-2C33-4C4A-B765-B6D7871C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5036DB"/>
    <w:pPr>
      <w:spacing w:after="120"/>
    </w:pPr>
  </w:style>
  <w:style w:type="character" w:customStyle="1" w:styleId="BodyTextChar">
    <w:name w:val="Body Text Char"/>
    <w:link w:val="BodyText"/>
    <w:uiPriority w:val="99"/>
    <w:rsid w:val="005036DB"/>
    <w:rPr>
      <w:sz w:val="24"/>
      <w:szCs w:val="24"/>
    </w:rPr>
  </w:style>
  <w:style w:type="character" w:customStyle="1" w:styleId="FontStyle16">
    <w:name w:val="Font Style16"/>
    <w:rsid w:val="005036D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888494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15889</Words>
  <Characters>9058</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TiesībuKārtība, kādā ministrijas un citas centrālās valsts iestādes iekļauj gadskārtējā valsts budžeta likumprojektā valsts aizdevumu pieprasījumus, un valsts aizdevumu izsniegšanas un apkalpošanas kārtība</vt:lpstr>
    </vt:vector>
  </TitlesOfParts>
  <Company>Iestādes nosaukums</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ministrijas un citas centrālās valsts iestādes iekļauj gadskārtējā valsts budžeta likumprojektā valsts aizdevumu pieprasījumus, un valsts aizdevumu izsniegšanas un apkalpošanas kārtība</dc:title>
  <dc:subject>Izziņa</dc:subject>
  <dc:creator>Indra Bobrovska;Sandis Putniņš</dc:creator>
  <cp:keywords/>
  <dc:description>67094229, Indra.Bobrovska@kase.gov.lv</dc:description>
  <cp:lastModifiedBy>Laimdota Adlere</cp:lastModifiedBy>
  <cp:revision>2</cp:revision>
  <cp:lastPrinted>2019-07-04T11:36:00Z</cp:lastPrinted>
  <dcterms:created xsi:type="dcterms:W3CDTF">2019-07-11T07:43:00Z</dcterms:created>
  <dcterms:modified xsi:type="dcterms:W3CDTF">2019-07-11T07:43:00Z</dcterms:modified>
  <cp:category>Budžeta un finanšu vadība</cp:category>
</cp:coreProperties>
</file>